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F50129" w:rsidRDefault="00F22918" w:rsidP="00DD19D4">
      <w:pPr>
        <w:jc w:val="center"/>
        <w:rPr>
          <w:b/>
          <w:sz w:val="28"/>
          <w:szCs w:val="20"/>
        </w:rPr>
      </w:pPr>
    </w:p>
    <w:p w14:paraId="79575C77" w14:textId="77777777" w:rsidR="00F22918" w:rsidRPr="00F50129" w:rsidRDefault="00F22918" w:rsidP="00DD19D4">
      <w:pPr>
        <w:jc w:val="center"/>
        <w:rPr>
          <w:b/>
          <w:sz w:val="28"/>
          <w:szCs w:val="20"/>
        </w:rPr>
      </w:pPr>
      <w:r w:rsidRPr="00F50129">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426D07" w:rsidRPr="00C3728B" w:rsidRDefault="00426D07"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F50129" w:rsidRDefault="00F22918" w:rsidP="00DD19D4">
      <w:pPr>
        <w:jc w:val="center"/>
        <w:rPr>
          <w:b/>
          <w:sz w:val="28"/>
          <w:szCs w:val="20"/>
        </w:rPr>
      </w:pPr>
    </w:p>
    <w:p w14:paraId="6FEE10D7" w14:textId="77777777" w:rsidR="00F22918" w:rsidRPr="00F50129" w:rsidRDefault="00F22918" w:rsidP="00DD19D4">
      <w:pPr>
        <w:jc w:val="center"/>
        <w:rPr>
          <w:b/>
          <w:sz w:val="28"/>
          <w:szCs w:val="20"/>
        </w:rPr>
      </w:pPr>
    </w:p>
    <w:p w14:paraId="1B08EFF5" w14:textId="77777777" w:rsidR="00F22918" w:rsidRPr="00F50129" w:rsidRDefault="00F22918" w:rsidP="00DD19D4">
      <w:pPr>
        <w:jc w:val="center"/>
        <w:rPr>
          <w:b/>
          <w:sz w:val="28"/>
          <w:szCs w:val="20"/>
        </w:rPr>
      </w:pPr>
    </w:p>
    <w:p w14:paraId="3CB82F1C" w14:textId="2557976F" w:rsidR="00203BF8" w:rsidRPr="009A033F" w:rsidRDefault="00203BF8" w:rsidP="00203BF8">
      <w:pPr>
        <w:jc w:val="center"/>
        <w:rPr>
          <w:b/>
          <w:color w:val="FF0000"/>
        </w:rPr>
      </w:pPr>
      <w:proofErr w:type="spellStart"/>
      <w:r w:rsidRPr="009A033F">
        <w:rPr>
          <w:b/>
          <w:bCs/>
        </w:rPr>
        <w:t>Faktor</w:t>
      </w:r>
      <w:proofErr w:type="spellEnd"/>
      <w:r w:rsidRPr="009A033F">
        <w:rPr>
          <w:b/>
          <w:bCs/>
        </w:rPr>
        <w:t xml:space="preserve"> </w:t>
      </w:r>
      <w:proofErr w:type="spellStart"/>
      <w:r w:rsidRPr="009A033F">
        <w:rPr>
          <w:b/>
          <w:bCs/>
        </w:rPr>
        <w:t>Pencegahan</w:t>
      </w:r>
      <w:proofErr w:type="spellEnd"/>
      <w:r w:rsidRPr="009A033F">
        <w:rPr>
          <w:b/>
          <w:bCs/>
        </w:rPr>
        <w:t xml:space="preserve"> </w:t>
      </w:r>
      <w:proofErr w:type="spellStart"/>
      <w:r w:rsidRPr="009A033F">
        <w:rPr>
          <w:b/>
          <w:bCs/>
        </w:rPr>
        <w:t>Balita</w:t>
      </w:r>
      <w:proofErr w:type="spellEnd"/>
      <w:r w:rsidRPr="009A033F">
        <w:rPr>
          <w:b/>
          <w:bCs/>
        </w:rPr>
        <w:t xml:space="preserve"> </w:t>
      </w:r>
      <w:proofErr w:type="spellStart"/>
      <w:r w:rsidRPr="009A033F">
        <w:rPr>
          <w:b/>
          <w:bCs/>
        </w:rPr>
        <w:t>Bawah</w:t>
      </w:r>
      <w:proofErr w:type="spellEnd"/>
      <w:r w:rsidRPr="009A033F">
        <w:rPr>
          <w:b/>
          <w:bCs/>
        </w:rPr>
        <w:t xml:space="preserve"> </w:t>
      </w:r>
      <w:proofErr w:type="spellStart"/>
      <w:r w:rsidRPr="009A033F">
        <w:rPr>
          <w:b/>
          <w:bCs/>
        </w:rPr>
        <w:t>Garis</w:t>
      </w:r>
      <w:proofErr w:type="spellEnd"/>
      <w:r w:rsidRPr="009A033F">
        <w:rPr>
          <w:b/>
          <w:bCs/>
        </w:rPr>
        <w:t xml:space="preserve"> </w:t>
      </w:r>
      <w:proofErr w:type="spellStart"/>
      <w:r w:rsidRPr="009A033F">
        <w:rPr>
          <w:b/>
          <w:bCs/>
        </w:rPr>
        <w:t>Merah</w:t>
      </w:r>
      <w:proofErr w:type="spellEnd"/>
      <w:r w:rsidRPr="009A033F">
        <w:rPr>
          <w:b/>
          <w:bCs/>
        </w:rPr>
        <w:t xml:space="preserve"> di</w:t>
      </w:r>
      <w:r w:rsidR="009A033F" w:rsidRPr="009A033F">
        <w:rPr>
          <w:b/>
          <w:bCs/>
        </w:rPr>
        <w:t xml:space="preserve"> </w:t>
      </w:r>
      <w:proofErr w:type="spellStart"/>
      <w:r w:rsidR="009A033F" w:rsidRPr="009A033F">
        <w:rPr>
          <w:b/>
          <w:bCs/>
        </w:rPr>
        <w:t>Wonokusumo</w:t>
      </w:r>
      <w:proofErr w:type="spellEnd"/>
      <w:r w:rsidRPr="009A033F">
        <w:rPr>
          <w:b/>
          <w:bCs/>
        </w:rPr>
        <w:t xml:space="preserve"> Surabaya</w:t>
      </w:r>
    </w:p>
    <w:p w14:paraId="79A0B72C" w14:textId="77777777" w:rsidR="00DD19D4" w:rsidRPr="009A033F" w:rsidRDefault="00DD19D4" w:rsidP="00203BF8">
      <w:pPr>
        <w:rPr>
          <w:b/>
          <w:i/>
          <w:sz w:val="28"/>
          <w:szCs w:val="20"/>
        </w:rPr>
      </w:pPr>
    </w:p>
    <w:p w14:paraId="0AD315C1" w14:textId="74D47897" w:rsidR="00DD19D4" w:rsidRDefault="00203BF8" w:rsidP="00DD19D4">
      <w:pPr>
        <w:jc w:val="center"/>
        <w:rPr>
          <w:b/>
          <w:i/>
        </w:rPr>
      </w:pPr>
      <w:r w:rsidRPr="009A033F">
        <w:rPr>
          <w:b/>
          <w:i/>
        </w:rPr>
        <w:t xml:space="preserve">Prevention Factors </w:t>
      </w:r>
      <w:proofErr w:type="gramStart"/>
      <w:r w:rsidRPr="009A033F">
        <w:rPr>
          <w:b/>
          <w:i/>
        </w:rPr>
        <w:t>For</w:t>
      </w:r>
      <w:proofErr w:type="gramEnd"/>
      <w:r w:rsidRPr="009A033F">
        <w:rPr>
          <w:b/>
          <w:i/>
        </w:rPr>
        <w:t xml:space="preserve"> Toddlers Below The Red Line In</w:t>
      </w:r>
      <w:r w:rsidR="009A033F" w:rsidRPr="009A033F">
        <w:rPr>
          <w:b/>
          <w:i/>
        </w:rPr>
        <w:t xml:space="preserve"> </w:t>
      </w:r>
      <w:proofErr w:type="spellStart"/>
      <w:r w:rsidR="009A033F" w:rsidRPr="009A033F">
        <w:rPr>
          <w:b/>
          <w:bCs/>
          <w:i/>
        </w:rPr>
        <w:t>W</w:t>
      </w:r>
      <w:r w:rsidR="009A033F" w:rsidRPr="009A033F">
        <w:rPr>
          <w:b/>
          <w:i/>
        </w:rPr>
        <w:t>onokusumo</w:t>
      </w:r>
      <w:proofErr w:type="spellEnd"/>
      <w:r w:rsidRPr="009A033F">
        <w:rPr>
          <w:b/>
          <w:i/>
        </w:rPr>
        <w:t xml:space="preserve"> Surabaya</w:t>
      </w:r>
    </w:p>
    <w:p w14:paraId="73287694" w14:textId="77777777" w:rsidR="00B85BD9" w:rsidRPr="009A033F" w:rsidRDefault="00B85BD9" w:rsidP="00DD19D4">
      <w:pPr>
        <w:jc w:val="center"/>
        <w:rPr>
          <w:b/>
          <w:i/>
          <w:sz w:val="20"/>
          <w:szCs w:val="20"/>
        </w:rPr>
      </w:pPr>
    </w:p>
    <w:p w14:paraId="5EF64828" w14:textId="735DC3C8" w:rsidR="00DD328C" w:rsidRPr="00203BF8" w:rsidRDefault="00203BF8" w:rsidP="00DD19D4">
      <w:pPr>
        <w:pStyle w:val="NormalWeb"/>
        <w:spacing w:before="86" w:beforeAutospacing="0" w:after="0" w:afterAutospacing="0"/>
        <w:jc w:val="center"/>
        <w:textAlignment w:val="baseline"/>
        <w:outlineLvl w:val="0"/>
        <w:rPr>
          <w:rFonts w:eastAsia="MS Mincho"/>
          <w:bCs/>
          <w:kern w:val="24"/>
          <w:sz w:val="20"/>
          <w:szCs w:val="20"/>
          <w:vertAlign w:val="superscript"/>
        </w:rPr>
      </w:pPr>
      <w:proofErr w:type="spellStart"/>
      <w:r>
        <w:rPr>
          <w:rFonts w:eastAsia="MS Mincho"/>
          <w:bCs/>
          <w:kern w:val="24"/>
          <w:sz w:val="20"/>
          <w:szCs w:val="20"/>
        </w:rPr>
        <w:t>Fitri</w:t>
      </w:r>
      <w:proofErr w:type="spellEnd"/>
      <w:r>
        <w:rPr>
          <w:rFonts w:eastAsia="MS Mincho"/>
          <w:bCs/>
          <w:kern w:val="24"/>
          <w:sz w:val="20"/>
          <w:szCs w:val="20"/>
        </w:rPr>
        <w:t xml:space="preserve"> Widyanti</w:t>
      </w:r>
      <w:r>
        <w:rPr>
          <w:rFonts w:eastAsia="MS Mincho"/>
          <w:bCs/>
          <w:kern w:val="24"/>
          <w:sz w:val="20"/>
          <w:szCs w:val="20"/>
          <w:vertAlign w:val="superscript"/>
        </w:rPr>
        <w:t>1</w:t>
      </w:r>
      <w:r>
        <w:rPr>
          <w:rFonts w:eastAsia="MS Mincho"/>
          <w:bCs/>
          <w:kern w:val="24"/>
          <w:sz w:val="20"/>
          <w:szCs w:val="20"/>
        </w:rPr>
        <w:t xml:space="preserve">, </w:t>
      </w:r>
      <w:proofErr w:type="spellStart"/>
      <w:r>
        <w:rPr>
          <w:rFonts w:eastAsia="MS Mincho"/>
          <w:bCs/>
          <w:kern w:val="24"/>
          <w:sz w:val="20"/>
          <w:szCs w:val="20"/>
        </w:rPr>
        <w:t>Nurshe</w:t>
      </w:r>
      <w:proofErr w:type="spellEnd"/>
      <w:r>
        <w:rPr>
          <w:rFonts w:eastAsia="MS Mincho"/>
          <w:bCs/>
          <w:kern w:val="24"/>
          <w:sz w:val="20"/>
          <w:szCs w:val="20"/>
        </w:rPr>
        <w:t xml:space="preserve"> </w:t>
      </w:r>
      <w:proofErr w:type="spellStart"/>
      <w:r>
        <w:rPr>
          <w:rFonts w:eastAsia="MS Mincho"/>
          <w:bCs/>
          <w:kern w:val="24"/>
          <w:sz w:val="20"/>
          <w:szCs w:val="20"/>
        </w:rPr>
        <w:t>Aliviolla</w:t>
      </w:r>
      <w:proofErr w:type="spellEnd"/>
      <w:r>
        <w:rPr>
          <w:rFonts w:eastAsia="MS Mincho"/>
          <w:bCs/>
          <w:kern w:val="24"/>
          <w:sz w:val="20"/>
          <w:szCs w:val="20"/>
        </w:rPr>
        <w:t xml:space="preserve"> Azmi</w:t>
      </w:r>
      <w:r>
        <w:rPr>
          <w:rFonts w:eastAsia="MS Mincho"/>
          <w:bCs/>
          <w:kern w:val="24"/>
          <w:sz w:val="20"/>
          <w:szCs w:val="20"/>
          <w:vertAlign w:val="superscript"/>
        </w:rPr>
        <w:t>2</w:t>
      </w:r>
    </w:p>
    <w:p w14:paraId="292B09EC" w14:textId="77777777" w:rsidR="00B85BD9" w:rsidRDefault="00B85BD9" w:rsidP="00DD19D4">
      <w:pPr>
        <w:pStyle w:val="NormalWeb"/>
        <w:spacing w:before="86" w:beforeAutospacing="0" w:after="0" w:afterAutospacing="0"/>
        <w:jc w:val="center"/>
        <w:textAlignment w:val="baseline"/>
        <w:outlineLvl w:val="0"/>
        <w:rPr>
          <w:color w:val="000000"/>
          <w:sz w:val="20"/>
          <w:szCs w:val="20"/>
        </w:rPr>
      </w:pPr>
    </w:p>
    <w:p w14:paraId="584D8563" w14:textId="73F162ED" w:rsidR="00DD328C" w:rsidRPr="00F50129"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F50129">
        <w:rPr>
          <w:rFonts w:eastAsia="MS Mincho"/>
          <w:b/>
          <w:bCs/>
          <w:kern w:val="24"/>
          <w:sz w:val="20"/>
          <w:szCs w:val="20"/>
        </w:rPr>
        <w:t>ABSTRAK</w:t>
      </w:r>
      <w:r w:rsidR="00DD19D4" w:rsidRPr="00F50129">
        <w:rPr>
          <w:rFonts w:eastAsia="MS Mincho"/>
          <w:b/>
          <w:bCs/>
          <w:kern w:val="24"/>
          <w:sz w:val="20"/>
          <w:szCs w:val="20"/>
        </w:rPr>
        <w:t xml:space="preserve"> </w:t>
      </w:r>
    </w:p>
    <w:p w14:paraId="31031B08"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6CBF0A59" w14:textId="596B2946" w:rsidR="0010291D" w:rsidRPr="00F50129" w:rsidRDefault="00C154E9" w:rsidP="009A033F">
      <w:pPr>
        <w:pStyle w:val="NormalWeb"/>
        <w:spacing w:before="0" w:beforeAutospacing="0" w:after="0" w:afterAutospacing="0"/>
        <w:jc w:val="both"/>
        <w:textAlignment w:val="baseline"/>
        <w:rPr>
          <w:sz w:val="20"/>
          <w:szCs w:val="20"/>
        </w:rPr>
      </w:pPr>
      <w:proofErr w:type="spellStart"/>
      <w:r w:rsidRPr="00F50129">
        <w:rPr>
          <w:b/>
          <w:sz w:val="20"/>
          <w:szCs w:val="20"/>
        </w:rPr>
        <w:t>Latar</w:t>
      </w:r>
      <w:proofErr w:type="spellEnd"/>
      <w:r w:rsidRPr="00F50129">
        <w:rPr>
          <w:b/>
          <w:sz w:val="20"/>
          <w:szCs w:val="20"/>
        </w:rPr>
        <w:t xml:space="preserve"> </w:t>
      </w:r>
      <w:proofErr w:type="spellStart"/>
      <w:r w:rsidRPr="00F50129">
        <w:rPr>
          <w:b/>
          <w:sz w:val="20"/>
          <w:szCs w:val="20"/>
        </w:rPr>
        <w:t>Belakang</w:t>
      </w:r>
      <w:proofErr w:type="spellEnd"/>
      <w:r w:rsidR="00DD328C" w:rsidRPr="00F50129">
        <w:rPr>
          <w:b/>
          <w:sz w:val="20"/>
          <w:szCs w:val="20"/>
        </w:rPr>
        <w:t>:</w:t>
      </w:r>
      <w:r w:rsidR="00DD328C" w:rsidRPr="00F50129">
        <w:rPr>
          <w:sz w:val="20"/>
          <w:szCs w:val="20"/>
        </w:rPr>
        <w:t xml:space="preserve"> </w:t>
      </w:r>
      <w:proofErr w:type="spellStart"/>
      <w:r w:rsidR="00203BF8" w:rsidRPr="00D87A0D">
        <w:rPr>
          <w:sz w:val="20"/>
        </w:rPr>
        <w:t>Balita</w:t>
      </w:r>
      <w:proofErr w:type="spellEnd"/>
      <w:r w:rsidR="00203BF8" w:rsidRPr="00D87A0D">
        <w:rPr>
          <w:sz w:val="20"/>
        </w:rPr>
        <w:t xml:space="preserve"> </w:t>
      </w:r>
      <w:proofErr w:type="spellStart"/>
      <w:r w:rsidR="00203BF8" w:rsidRPr="00D87A0D">
        <w:rPr>
          <w:sz w:val="20"/>
        </w:rPr>
        <w:t>dengan</w:t>
      </w:r>
      <w:proofErr w:type="spellEnd"/>
      <w:r w:rsidR="00203BF8" w:rsidRPr="00D87A0D">
        <w:rPr>
          <w:sz w:val="20"/>
        </w:rPr>
        <w:t xml:space="preserve"> BGM (</w:t>
      </w:r>
      <w:proofErr w:type="spellStart"/>
      <w:r w:rsidR="00203BF8" w:rsidRPr="00D87A0D">
        <w:rPr>
          <w:sz w:val="20"/>
        </w:rPr>
        <w:t>Bawah</w:t>
      </w:r>
      <w:proofErr w:type="spellEnd"/>
      <w:r w:rsidR="00203BF8" w:rsidRPr="00D87A0D">
        <w:rPr>
          <w:sz w:val="20"/>
        </w:rPr>
        <w:t xml:space="preserve"> </w:t>
      </w:r>
      <w:proofErr w:type="spellStart"/>
      <w:r w:rsidR="00203BF8" w:rsidRPr="00D87A0D">
        <w:rPr>
          <w:sz w:val="20"/>
        </w:rPr>
        <w:t>Garis</w:t>
      </w:r>
      <w:proofErr w:type="spellEnd"/>
      <w:r w:rsidR="00203BF8" w:rsidRPr="00D87A0D">
        <w:rPr>
          <w:sz w:val="20"/>
        </w:rPr>
        <w:t xml:space="preserve"> </w:t>
      </w:r>
      <w:proofErr w:type="spellStart"/>
      <w:r w:rsidR="00203BF8" w:rsidRPr="00D87A0D">
        <w:rPr>
          <w:sz w:val="20"/>
        </w:rPr>
        <w:t>Merah</w:t>
      </w:r>
      <w:proofErr w:type="spellEnd"/>
      <w:r w:rsidR="00203BF8" w:rsidRPr="00D87A0D">
        <w:rPr>
          <w:sz w:val="20"/>
        </w:rPr>
        <w:t xml:space="preserve">) </w:t>
      </w:r>
      <w:proofErr w:type="spellStart"/>
      <w:r w:rsidR="00203BF8" w:rsidRPr="00D87A0D">
        <w:rPr>
          <w:sz w:val="20"/>
        </w:rPr>
        <w:t>adalah</w:t>
      </w:r>
      <w:proofErr w:type="spellEnd"/>
      <w:r w:rsidR="00203BF8" w:rsidRPr="00D87A0D">
        <w:rPr>
          <w:sz w:val="20"/>
        </w:rPr>
        <w:t xml:space="preserve"> </w:t>
      </w:r>
      <w:proofErr w:type="spellStart"/>
      <w:r w:rsidR="00203BF8" w:rsidRPr="00D87A0D">
        <w:rPr>
          <w:sz w:val="20"/>
        </w:rPr>
        <w:t>balita</w:t>
      </w:r>
      <w:proofErr w:type="spellEnd"/>
      <w:r w:rsidR="00203BF8" w:rsidRPr="00D87A0D">
        <w:rPr>
          <w:sz w:val="20"/>
        </w:rPr>
        <w:t xml:space="preserve"> </w:t>
      </w:r>
      <w:proofErr w:type="spellStart"/>
      <w:r w:rsidR="00203BF8" w:rsidRPr="00D87A0D">
        <w:rPr>
          <w:sz w:val="20"/>
        </w:rPr>
        <w:t>dengan</w:t>
      </w:r>
      <w:proofErr w:type="spellEnd"/>
      <w:r w:rsidR="00203BF8" w:rsidRPr="00D87A0D">
        <w:rPr>
          <w:sz w:val="20"/>
        </w:rPr>
        <w:t xml:space="preserve"> </w:t>
      </w:r>
      <w:proofErr w:type="spellStart"/>
      <w:r w:rsidR="00203BF8" w:rsidRPr="00D87A0D">
        <w:rPr>
          <w:sz w:val="20"/>
        </w:rPr>
        <w:t>berat</w:t>
      </w:r>
      <w:proofErr w:type="spellEnd"/>
      <w:r w:rsidR="00203BF8" w:rsidRPr="00D87A0D">
        <w:rPr>
          <w:sz w:val="20"/>
        </w:rPr>
        <w:t xml:space="preserve"> </w:t>
      </w:r>
      <w:proofErr w:type="spellStart"/>
      <w:r w:rsidR="00203BF8" w:rsidRPr="00D87A0D">
        <w:rPr>
          <w:sz w:val="20"/>
        </w:rPr>
        <w:t>badan</w:t>
      </w:r>
      <w:proofErr w:type="spellEnd"/>
      <w:r w:rsidR="00203BF8" w:rsidRPr="00D87A0D">
        <w:rPr>
          <w:sz w:val="20"/>
        </w:rPr>
        <w:t xml:space="preserve"> </w:t>
      </w:r>
      <w:proofErr w:type="spellStart"/>
      <w:r w:rsidR="00203BF8" w:rsidRPr="00D87A0D">
        <w:rPr>
          <w:sz w:val="20"/>
        </w:rPr>
        <w:t>menurut</w:t>
      </w:r>
      <w:proofErr w:type="spellEnd"/>
      <w:r w:rsidR="00203BF8" w:rsidRPr="00D87A0D">
        <w:rPr>
          <w:sz w:val="20"/>
        </w:rPr>
        <w:t xml:space="preserve"> </w:t>
      </w:r>
      <w:proofErr w:type="spellStart"/>
      <w:r w:rsidR="00203BF8" w:rsidRPr="00D87A0D">
        <w:rPr>
          <w:sz w:val="20"/>
        </w:rPr>
        <w:t>umur</w:t>
      </w:r>
      <w:proofErr w:type="spellEnd"/>
      <w:r w:rsidR="00203BF8" w:rsidRPr="00D87A0D">
        <w:rPr>
          <w:sz w:val="20"/>
        </w:rPr>
        <w:t xml:space="preserve"> (BB / U) </w:t>
      </w:r>
      <w:proofErr w:type="spellStart"/>
      <w:r w:rsidR="00203BF8" w:rsidRPr="00D87A0D">
        <w:rPr>
          <w:sz w:val="20"/>
        </w:rPr>
        <w:t>berada</w:t>
      </w:r>
      <w:proofErr w:type="spellEnd"/>
      <w:r w:rsidR="00203BF8" w:rsidRPr="00D87A0D">
        <w:rPr>
          <w:sz w:val="20"/>
        </w:rPr>
        <w:t xml:space="preserve"> di </w:t>
      </w:r>
      <w:proofErr w:type="spellStart"/>
      <w:r w:rsidR="00203BF8" w:rsidRPr="00D87A0D">
        <w:rPr>
          <w:sz w:val="20"/>
        </w:rPr>
        <w:t>bawah</w:t>
      </w:r>
      <w:proofErr w:type="spellEnd"/>
      <w:r w:rsidR="00203BF8" w:rsidRPr="00D87A0D">
        <w:rPr>
          <w:sz w:val="20"/>
        </w:rPr>
        <w:t xml:space="preserve"> </w:t>
      </w:r>
      <w:proofErr w:type="spellStart"/>
      <w:r w:rsidR="00203BF8" w:rsidRPr="00D87A0D">
        <w:rPr>
          <w:sz w:val="20"/>
        </w:rPr>
        <w:t>garis</w:t>
      </w:r>
      <w:proofErr w:type="spellEnd"/>
      <w:r w:rsidR="00203BF8" w:rsidRPr="00D87A0D">
        <w:rPr>
          <w:sz w:val="20"/>
        </w:rPr>
        <w:t xml:space="preserve"> </w:t>
      </w:r>
      <w:proofErr w:type="spellStart"/>
      <w:r w:rsidR="00203BF8" w:rsidRPr="00D87A0D">
        <w:rPr>
          <w:sz w:val="20"/>
        </w:rPr>
        <w:t>merah</w:t>
      </w:r>
      <w:proofErr w:type="spellEnd"/>
      <w:r w:rsidR="00203BF8" w:rsidRPr="00D87A0D">
        <w:rPr>
          <w:sz w:val="20"/>
        </w:rPr>
        <w:t xml:space="preserve"> </w:t>
      </w:r>
      <w:proofErr w:type="spellStart"/>
      <w:r w:rsidR="00203BF8" w:rsidRPr="00D87A0D">
        <w:rPr>
          <w:sz w:val="20"/>
        </w:rPr>
        <w:t>pada</w:t>
      </w:r>
      <w:proofErr w:type="spellEnd"/>
      <w:r w:rsidR="00203BF8" w:rsidRPr="00D87A0D">
        <w:rPr>
          <w:sz w:val="20"/>
        </w:rPr>
        <w:t xml:space="preserve"> KMS </w:t>
      </w:r>
      <w:proofErr w:type="spellStart"/>
      <w:r w:rsidR="00203BF8" w:rsidRPr="00D87A0D">
        <w:rPr>
          <w:sz w:val="20"/>
        </w:rPr>
        <w:t>sehingga</w:t>
      </w:r>
      <w:proofErr w:type="spellEnd"/>
      <w:r w:rsidR="00203BF8" w:rsidRPr="00D87A0D">
        <w:rPr>
          <w:sz w:val="20"/>
        </w:rPr>
        <w:t xml:space="preserve"> </w:t>
      </w:r>
      <w:proofErr w:type="spellStart"/>
      <w:r w:rsidR="00203BF8" w:rsidRPr="00D87A0D">
        <w:rPr>
          <w:sz w:val="20"/>
        </w:rPr>
        <w:t>menunjukkan</w:t>
      </w:r>
      <w:proofErr w:type="spellEnd"/>
      <w:r w:rsidR="00203BF8" w:rsidRPr="00D87A0D">
        <w:rPr>
          <w:sz w:val="20"/>
        </w:rPr>
        <w:t xml:space="preserve"> status </w:t>
      </w:r>
      <w:proofErr w:type="spellStart"/>
      <w:r w:rsidR="00203BF8" w:rsidRPr="00D87A0D">
        <w:rPr>
          <w:sz w:val="20"/>
        </w:rPr>
        <w:t>gizi</w:t>
      </w:r>
      <w:proofErr w:type="spellEnd"/>
      <w:r w:rsidR="00203BF8" w:rsidRPr="00D87A0D">
        <w:rPr>
          <w:sz w:val="20"/>
        </w:rPr>
        <w:t xml:space="preserve"> </w:t>
      </w:r>
      <w:proofErr w:type="spellStart"/>
      <w:r w:rsidR="00203BF8" w:rsidRPr="00D87A0D">
        <w:rPr>
          <w:sz w:val="20"/>
        </w:rPr>
        <w:t>buruk</w:t>
      </w:r>
      <w:proofErr w:type="spellEnd"/>
      <w:r w:rsidR="00203BF8" w:rsidRPr="00D87A0D">
        <w:rPr>
          <w:sz w:val="20"/>
        </w:rPr>
        <w:t xml:space="preserve">. </w:t>
      </w:r>
      <w:proofErr w:type="spellStart"/>
      <w:proofErr w:type="gramStart"/>
      <w:r w:rsidR="00203BF8" w:rsidRPr="00D87A0D">
        <w:rPr>
          <w:sz w:val="20"/>
        </w:rPr>
        <w:t>Balita</w:t>
      </w:r>
      <w:proofErr w:type="spellEnd"/>
      <w:r w:rsidR="00203BF8" w:rsidRPr="00D87A0D">
        <w:rPr>
          <w:sz w:val="20"/>
        </w:rPr>
        <w:t xml:space="preserve"> BGM </w:t>
      </w:r>
      <w:proofErr w:type="spellStart"/>
      <w:r w:rsidR="00203BF8" w:rsidRPr="00D87A0D">
        <w:rPr>
          <w:sz w:val="20"/>
        </w:rPr>
        <w:t>dapat</w:t>
      </w:r>
      <w:proofErr w:type="spellEnd"/>
      <w:r w:rsidR="00203BF8" w:rsidRPr="00D87A0D">
        <w:rPr>
          <w:sz w:val="20"/>
        </w:rPr>
        <w:t xml:space="preserve"> </w:t>
      </w:r>
      <w:proofErr w:type="spellStart"/>
      <w:r w:rsidR="00203BF8" w:rsidRPr="00D87A0D">
        <w:rPr>
          <w:sz w:val="20"/>
        </w:rPr>
        <w:t>dijadikan</w:t>
      </w:r>
      <w:proofErr w:type="spellEnd"/>
      <w:r w:rsidR="00203BF8" w:rsidRPr="00D87A0D">
        <w:rPr>
          <w:sz w:val="20"/>
        </w:rPr>
        <w:t xml:space="preserve"> </w:t>
      </w:r>
      <w:proofErr w:type="spellStart"/>
      <w:r w:rsidR="00203BF8" w:rsidRPr="00D87A0D">
        <w:rPr>
          <w:sz w:val="20"/>
        </w:rPr>
        <w:t>salah</w:t>
      </w:r>
      <w:proofErr w:type="spellEnd"/>
      <w:r w:rsidR="00203BF8" w:rsidRPr="00D87A0D">
        <w:rPr>
          <w:sz w:val="20"/>
        </w:rPr>
        <w:t xml:space="preserve"> </w:t>
      </w:r>
      <w:proofErr w:type="spellStart"/>
      <w:r w:rsidR="00203BF8" w:rsidRPr="00D87A0D">
        <w:rPr>
          <w:sz w:val="20"/>
        </w:rPr>
        <w:t>satu</w:t>
      </w:r>
      <w:proofErr w:type="spellEnd"/>
      <w:r w:rsidR="00203BF8" w:rsidRPr="00D87A0D">
        <w:rPr>
          <w:sz w:val="20"/>
        </w:rPr>
        <w:t xml:space="preserve"> </w:t>
      </w:r>
      <w:proofErr w:type="spellStart"/>
      <w:r w:rsidR="00203BF8" w:rsidRPr="00D87A0D">
        <w:rPr>
          <w:sz w:val="20"/>
        </w:rPr>
        <w:t>indikator</w:t>
      </w:r>
      <w:proofErr w:type="spellEnd"/>
      <w:r w:rsidR="00203BF8" w:rsidRPr="00D87A0D">
        <w:rPr>
          <w:sz w:val="20"/>
        </w:rPr>
        <w:t xml:space="preserve"> </w:t>
      </w:r>
      <w:proofErr w:type="spellStart"/>
      <w:r w:rsidR="00203BF8" w:rsidRPr="00D87A0D">
        <w:rPr>
          <w:sz w:val="20"/>
        </w:rPr>
        <w:t>awal</w:t>
      </w:r>
      <w:proofErr w:type="spellEnd"/>
      <w:r w:rsidR="00203BF8" w:rsidRPr="00D87A0D">
        <w:rPr>
          <w:sz w:val="20"/>
        </w:rPr>
        <w:t xml:space="preserve"> </w:t>
      </w:r>
      <w:proofErr w:type="spellStart"/>
      <w:r w:rsidR="00203BF8" w:rsidRPr="00D87A0D">
        <w:rPr>
          <w:sz w:val="20"/>
        </w:rPr>
        <w:t>bahwa</w:t>
      </w:r>
      <w:proofErr w:type="spellEnd"/>
      <w:r w:rsidR="00203BF8" w:rsidRPr="00D87A0D">
        <w:rPr>
          <w:sz w:val="20"/>
        </w:rPr>
        <w:t xml:space="preserve"> </w:t>
      </w:r>
      <w:proofErr w:type="spellStart"/>
      <w:r w:rsidR="00203BF8" w:rsidRPr="00D87A0D">
        <w:rPr>
          <w:sz w:val="20"/>
        </w:rPr>
        <w:t>balita</w:t>
      </w:r>
      <w:proofErr w:type="spellEnd"/>
      <w:r w:rsidR="00203BF8" w:rsidRPr="00D87A0D">
        <w:rPr>
          <w:sz w:val="20"/>
        </w:rPr>
        <w:t xml:space="preserve"> </w:t>
      </w:r>
      <w:proofErr w:type="spellStart"/>
      <w:r w:rsidR="00203BF8" w:rsidRPr="00D87A0D">
        <w:rPr>
          <w:sz w:val="20"/>
        </w:rPr>
        <w:t>tersebut</w:t>
      </w:r>
      <w:proofErr w:type="spellEnd"/>
      <w:r w:rsidR="00203BF8" w:rsidRPr="00D87A0D">
        <w:rPr>
          <w:sz w:val="20"/>
        </w:rPr>
        <w:t xml:space="preserve"> </w:t>
      </w:r>
      <w:proofErr w:type="spellStart"/>
      <w:r w:rsidR="00203BF8" w:rsidRPr="00D87A0D">
        <w:rPr>
          <w:sz w:val="20"/>
        </w:rPr>
        <w:t>mengalami</w:t>
      </w:r>
      <w:proofErr w:type="spellEnd"/>
      <w:r w:rsidR="00203BF8" w:rsidRPr="00D87A0D">
        <w:rPr>
          <w:sz w:val="20"/>
        </w:rPr>
        <w:t xml:space="preserve"> </w:t>
      </w:r>
      <w:proofErr w:type="spellStart"/>
      <w:r w:rsidR="00203BF8" w:rsidRPr="00D87A0D">
        <w:rPr>
          <w:sz w:val="20"/>
        </w:rPr>
        <w:t>masalah</w:t>
      </w:r>
      <w:proofErr w:type="spellEnd"/>
      <w:r w:rsidR="00203BF8" w:rsidRPr="00D87A0D">
        <w:rPr>
          <w:sz w:val="20"/>
        </w:rPr>
        <w:t xml:space="preserve"> </w:t>
      </w:r>
      <w:proofErr w:type="spellStart"/>
      <w:r w:rsidR="00203BF8" w:rsidRPr="00D87A0D">
        <w:rPr>
          <w:sz w:val="20"/>
        </w:rPr>
        <w:t>gizi</w:t>
      </w:r>
      <w:proofErr w:type="spellEnd"/>
      <w:r w:rsidR="00203BF8" w:rsidRPr="00D87A0D">
        <w:rPr>
          <w:sz w:val="20"/>
        </w:rPr>
        <w:t xml:space="preserve"> yang </w:t>
      </w:r>
      <w:proofErr w:type="spellStart"/>
      <w:r w:rsidR="00203BF8" w:rsidRPr="00D87A0D">
        <w:rPr>
          <w:sz w:val="20"/>
        </w:rPr>
        <w:t>perlu</w:t>
      </w:r>
      <w:proofErr w:type="spellEnd"/>
      <w:r w:rsidR="00203BF8" w:rsidRPr="00D87A0D">
        <w:rPr>
          <w:sz w:val="20"/>
        </w:rPr>
        <w:t xml:space="preserve"> </w:t>
      </w:r>
      <w:proofErr w:type="spellStart"/>
      <w:r w:rsidR="00203BF8" w:rsidRPr="00D87A0D">
        <w:rPr>
          <w:sz w:val="20"/>
        </w:rPr>
        <w:t>segera</w:t>
      </w:r>
      <w:proofErr w:type="spellEnd"/>
      <w:r w:rsidR="00203BF8" w:rsidRPr="00D87A0D">
        <w:rPr>
          <w:sz w:val="20"/>
        </w:rPr>
        <w:t xml:space="preserve"> </w:t>
      </w:r>
      <w:proofErr w:type="spellStart"/>
      <w:r w:rsidR="00203BF8" w:rsidRPr="00D87A0D">
        <w:rPr>
          <w:sz w:val="20"/>
        </w:rPr>
        <w:t>ditangani</w:t>
      </w:r>
      <w:proofErr w:type="spellEnd"/>
      <w:r w:rsidR="00203BF8" w:rsidRPr="00D87A0D">
        <w:rPr>
          <w:sz w:val="20"/>
        </w:rPr>
        <w:t>.</w:t>
      </w:r>
      <w:proofErr w:type="gramEnd"/>
      <w:r w:rsidR="00DD328C" w:rsidRPr="00F50129">
        <w:rPr>
          <w:sz w:val="20"/>
          <w:szCs w:val="20"/>
        </w:rPr>
        <w:t xml:space="preserve"> </w:t>
      </w:r>
      <w:r w:rsidR="00DD328C" w:rsidRPr="00F50129">
        <w:rPr>
          <w:rFonts w:eastAsia="MS Mincho"/>
          <w:bCs/>
          <w:kern w:val="24"/>
          <w:sz w:val="20"/>
          <w:szCs w:val="20"/>
        </w:rPr>
        <w:t xml:space="preserve"> </w:t>
      </w:r>
    </w:p>
    <w:p w14:paraId="77FCD697" w14:textId="3DE80CA0" w:rsidR="0010291D" w:rsidRPr="00F50129" w:rsidRDefault="00C154E9" w:rsidP="009A033F">
      <w:pPr>
        <w:pStyle w:val="NormalWeb"/>
        <w:spacing w:before="0"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Tujuan</w:t>
      </w:r>
      <w:proofErr w:type="spellEnd"/>
      <w:r w:rsidRPr="00F50129">
        <w:rPr>
          <w:rFonts w:eastAsia="MS Mincho"/>
          <w:b/>
          <w:bCs/>
          <w:kern w:val="24"/>
          <w:sz w:val="20"/>
          <w:szCs w:val="20"/>
        </w:rPr>
        <w:t>:</w:t>
      </w:r>
      <w:r w:rsidRPr="00F50129">
        <w:rPr>
          <w:rFonts w:eastAsia="MS Mincho"/>
          <w:bCs/>
          <w:kern w:val="24"/>
          <w:sz w:val="20"/>
          <w:szCs w:val="20"/>
        </w:rPr>
        <w:t xml:space="preserve"> </w:t>
      </w:r>
      <w:proofErr w:type="spellStart"/>
      <w:r w:rsidR="009A033F">
        <w:rPr>
          <w:sz w:val="20"/>
        </w:rPr>
        <w:t>U</w:t>
      </w:r>
      <w:r w:rsidR="00203BF8">
        <w:rPr>
          <w:sz w:val="20"/>
        </w:rPr>
        <w:t>ntuk</w:t>
      </w:r>
      <w:proofErr w:type="spellEnd"/>
      <w:r w:rsidR="00203BF8">
        <w:rPr>
          <w:sz w:val="20"/>
        </w:rPr>
        <w:t xml:space="preserve"> </w:t>
      </w:r>
      <w:proofErr w:type="spellStart"/>
      <w:r w:rsidR="00203BF8" w:rsidRPr="00D87A0D">
        <w:rPr>
          <w:sz w:val="20"/>
        </w:rPr>
        <w:t>menganalisis</w:t>
      </w:r>
      <w:proofErr w:type="spellEnd"/>
      <w:r w:rsidR="00203BF8" w:rsidRPr="00D87A0D">
        <w:rPr>
          <w:sz w:val="20"/>
        </w:rPr>
        <w:t xml:space="preserve"> </w:t>
      </w:r>
      <w:proofErr w:type="spellStart"/>
      <w:r w:rsidR="00203BF8" w:rsidRPr="00D87A0D">
        <w:rPr>
          <w:sz w:val="20"/>
        </w:rPr>
        <w:t>permasalahan</w:t>
      </w:r>
      <w:proofErr w:type="spellEnd"/>
      <w:r w:rsidR="00203BF8" w:rsidRPr="00D87A0D">
        <w:rPr>
          <w:sz w:val="20"/>
        </w:rPr>
        <w:t>/</w:t>
      </w:r>
      <w:proofErr w:type="spellStart"/>
      <w:r w:rsidR="00203BF8" w:rsidRPr="00D87A0D">
        <w:rPr>
          <w:sz w:val="20"/>
        </w:rPr>
        <w:t>gejala</w:t>
      </w:r>
      <w:proofErr w:type="spellEnd"/>
      <w:r w:rsidR="00203BF8" w:rsidRPr="00D87A0D">
        <w:rPr>
          <w:sz w:val="20"/>
        </w:rPr>
        <w:t xml:space="preserve"> </w:t>
      </w:r>
      <w:proofErr w:type="spellStart"/>
      <w:r w:rsidR="00203BF8" w:rsidRPr="00D87A0D">
        <w:rPr>
          <w:sz w:val="20"/>
        </w:rPr>
        <w:t>dan</w:t>
      </w:r>
      <w:proofErr w:type="spellEnd"/>
      <w:r w:rsidR="00203BF8" w:rsidRPr="00D87A0D">
        <w:rPr>
          <w:sz w:val="20"/>
        </w:rPr>
        <w:t xml:space="preserve"> </w:t>
      </w:r>
      <w:proofErr w:type="spellStart"/>
      <w:r w:rsidR="00203BF8" w:rsidRPr="00D87A0D">
        <w:rPr>
          <w:sz w:val="20"/>
        </w:rPr>
        <w:t>langkah</w:t>
      </w:r>
      <w:proofErr w:type="spellEnd"/>
      <w:r w:rsidR="00203BF8" w:rsidRPr="00D87A0D">
        <w:rPr>
          <w:sz w:val="20"/>
        </w:rPr>
        <w:t xml:space="preserve"> </w:t>
      </w:r>
      <w:proofErr w:type="spellStart"/>
      <w:r w:rsidR="00203BF8" w:rsidRPr="00D87A0D">
        <w:rPr>
          <w:sz w:val="20"/>
        </w:rPr>
        <w:t>pencegahan</w:t>
      </w:r>
      <w:proofErr w:type="spellEnd"/>
      <w:r w:rsidR="00203BF8" w:rsidRPr="00D87A0D">
        <w:rPr>
          <w:sz w:val="20"/>
        </w:rPr>
        <w:t xml:space="preserve"> </w:t>
      </w:r>
      <w:proofErr w:type="spellStart"/>
      <w:r w:rsidR="00203BF8" w:rsidRPr="00D87A0D">
        <w:rPr>
          <w:sz w:val="20"/>
        </w:rPr>
        <w:t>Balita</w:t>
      </w:r>
      <w:proofErr w:type="spellEnd"/>
      <w:r w:rsidR="00203BF8" w:rsidRPr="00D87A0D">
        <w:rPr>
          <w:sz w:val="20"/>
        </w:rPr>
        <w:t xml:space="preserve"> </w:t>
      </w:r>
      <w:proofErr w:type="spellStart"/>
      <w:r w:rsidR="00203BF8" w:rsidRPr="00D87A0D">
        <w:rPr>
          <w:sz w:val="20"/>
        </w:rPr>
        <w:t>Bawah</w:t>
      </w:r>
      <w:proofErr w:type="spellEnd"/>
      <w:r w:rsidR="00203BF8" w:rsidRPr="00D87A0D">
        <w:rPr>
          <w:sz w:val="20"/>
        </w:rPr>
        <w:t xml:space="preserve"> </w:t>
      </w:r>
      <w:proofErr w:type="spellStart"/>
      <w:r w:rsidR="00203BF8" w:rsidRPr="00D87A0D">
        <w:rPr>
          <w:sz w:val="20"/>
        </w:rPr>
        <w:t>Garis</w:t>
      </w:r>
      <w:proofErr w:type="spellEnd"/>
      <w:r w:rsidR="00203BF8" w:rsidRPr="00D87A0D">
        <w:rPr>
          <w:sz w:val="20"/>
        </w:rPr>
        <w:t xml:space="preserve"> </w:t>
      </w:r>
      <w:proofErr w:type="spellStart"/>
      <w:r w:rsidR="00203BF8" w:rsidRPr="00D87A0D">
        <w:rPr>
          <w:sz w:val="20"/>
        </w:rPr>
        <w:t>Merah</w:t>
      </w:r>
      <w:proofErr w:type="spellEnd"/>
      <w:r w:rsidR="00203BF8" w:rsidRPr="00D87A0D">
        <w:rPr>
          <w:sz w:val="20"/>
        </w:rPr>
        <w:t xml:space="preserve"> di Wilayah </w:t>
      </w:r>
      <w:proofErr w:type="spellStart"/>
      <w:r w:rsidR="00203BF8" w:rsidRPr="00D87A0D">
        <w:rPr>
          <w:sz w:val="20"/>
        </w:rPr>
        <w:t>Kerja</w:t>
      </w:r>
      <w:proofErr w:type="spellEnd"/>
      <w:r w:rsidR="00203BF8" w:rsidRPr="00D87A0D">
        <w:rPr>
          <w:sz w:val="20"/>
        </w:rPr>
        <w:t xml:space="preserve"> </w:t>
      </w:r>
      <w:proofErr w:type="spellStart"/>
      <w:r w:rsidR="00203BF8" w:rsidRPr="00D87A0D">
        <w:rPr>
          <w:sz w:val="20"/>
        </w:rPr>
        <w:t>Puskesmas</w:t>
      </w:r>
      <w:proofErr w:type="spellEnd"/>
      <w:r w:rsidR="00203BF8" w:rsidRPr="00D87A0D">
        <w:rPr>
          <w:sz w:val="20"/>
        </w:rPr>
        <w:t xml:space="preserve"> </w:t>
      </w:r>
      <w:proofErr w:type="spellStart"/>
      <w:r w:rsidR="00203BF8" w:rsidRPr="00D87A0D">
        <w:rPr>
          <w:sz w:val="20"/>
        </w:rPr>
        <w:t>Wonokusumo</w:t>
      </w:r>
      <w:proofErr w:type="spellEnd"/>
      <w:r w:rsidR="00203BF8" w:rsidRPr="00D87A0D">
        <w:rPr>
          <w:sz w:val="20"/>
        </w:rPr>
        <w:t xml:space="preserve"> Surabaya.</w:t>
      </w:r>
    </w:p>
    <w:p w14:paraId="479434C9" w14:textId="6FF62279" w:rsidR="0010291D" w:rsidRPr="00F50129" w:rsidRDefault="00C154E9" w:rsidP="009A033F">
      <w:pPr>
        <w:pStyle w:val="NormalWeb"/>
        <w:spacing w:before="0"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Metode</w:t>
      </w:r>
      <w:proofErr w:type="spellEnd"/>
      <w:r w:rsidR="00DD328C" w:rsidRPr="00F50129">
        <w:rPr>
          <w:rFonts w:eastAsia="MS Mincho"/>
          <w:b/>
          <w:bCs/>
          <w:kern w:val="24"/>
          <w:sz w:val="20"/>
          <w:szCs w:val="20"/>
        </w:rPr>
        <w:t>:</w:t>
      </w:r>
      <w:r w:rsidR="00DD328C" w:rsidRPr="00F50129">
        <w:rPr>
          <w:rFonts w:eastAsia="MS Mincho"/>
          <w:bCs/>
          <w:kern w:val="24"/>
          <w:sz w:val="20"/>
          <w:szCs w:val="20"/>
        </w:rPr>
        <w:t xml:space="preserve"> </w:t>
      </w:r>
      <w:proofErr w:type="spellStart"/>
      <w:r w:rsidR="00203BF8" w:rsidRPr="00D87A0D">
        <w:rPr>
          <w:sz w:val="20"/>
        </w:rPr>
        <w:t>Penelitian</w:t>
      </w:r>
      <w:proofErr w:type="spellEnd"/>
      <w:r w:rsidR="00203BF8" w:rsidRPr="00D87A0D">
        <w:rPr>
          <w:sz w:val="20"/>
        </w:rPr>
        <w:t xml:space="preserve"> </w:t>
      </w:r>
      <w:proofErr w:type="spellStart"/>
      <w:r w:rsidR="00203BF8" w:rsidRPr="00D87A0D">
        <w:rPr>
          <w:sz w:val="20"/>
        </w:rPr>
        <w:t>ini</w:t>
      </w:r>
      <w:proofErr w:type="spellEnd"/>
      <w:r w:rsidR="00203BF8" w:rsidRPr="00D87A0D">
        <w:rPr>
          <w:sz w:val="20"/>
        </w:rPr>
        <w:t xml:space="preserve"> </w:t>
      </w:r>
      <w:proofErr w:type="spellStart"/>
      <w:r w:rsidR="00203BF8" w:rsidRPr="00D87A0D">
        <w:rPr>
          <w:sz w:val="20"/>
        </w:rPr>
        <w:t>bersifat</w:t>
      </w:r>
      <w:proofErr w:type="spellEnd"/>
      <w:r w:rsidR="00203BF8" w:rsidRPr="00D87A0D">
        <w:rPr>
          <w:sz w:val="20"/>
        </w:rPr>
        <w:t xml:space="preserve"> </w:t>
      </w:r>
      <w:proofErr w:type="spellStart"/>
      <w:r w:rsidR="00203BF8" w:rsidRPr="00D87A0D">
        <w:rPr>
          <w:sz w:val="20"/>
        </w:rPr>
        <w:t>analitik</w:t>
      </w:r>
      <w:proofErr w:type="spellEnd"/>
      <w:r w:rsidR="00203BF8" w:rsidRPr="00D87A0D">
        <w:rPr>
          <w:sz w:val="20"/>
        </w:rPr>
        <w:t xml:space="preserve"> </w:t>
      </w:r>
      <w:proofErr w:type="spellStart"/>
      <w:r w:rsidR="00203BF8" w:rsidRPr="00D87A0D">
        <w:rPr>
          <w:sz w:val="20"/>
        </w:rPr>
        <w:t>observasional</w:t>
      </w:r>
      <w:proofErr w:type="spellEnd"/>
      <w:r w:rsidR="00203BF8" w:rsidRPr="00D87A0D">
        <w:rPr>
          <w:sz w:val="20"/>
        </w:rPr>
        <w:t xml:space="preserve">, </w:t>
      </w:r>
      <w:proofErr w:type="spellStart"/>
      <w:r w:rsidR="00203BF8" w:rsidRPr="00D87A0D">
        <w:rPr>
          <w:sz w:val="20"/>
        </w:rPr>
        <w:t>dengan</w:t>
      </w:r>
      <w:proofErr w:type="spellEnd"/>
      <w:r w:rsidR="00203BF8" w:rsidRPr="00D87A0D">
        <w:rPr>
          <w:sz w:val="20"/>
        </w:rPr>
        <w:t xml:space="preserve"> </w:t>
      </w:r>
      <w:proofErr w:type="spellStart"/>
      <w:r w:rsidR="00203BF8" w:rsidRPr="00D87A0D">
        <w:rPr>
          <w:sz w:val="20"/>
        </w:rPr>
        <w:t>desain</w:t>
      </w:r>
      <w:proofErr w:type="spellEnd"/>
      <w:r w:rsidR="00203BF8" w:rsidRPr="00D87A0D">
        <w:rPr>
          <w:sz w:val="20"/>
        </w:rPr>
        <w:t xml:space="preserve"> </w:t>
      </w:r>
      <w:r w:rsidR="00203BF8" w:rsidRPr="009A033F">
        <w:rPr>
          <w:i/>
          <w:sz w:val="20"/>
        </w:rPr>
        <w:t>cross sectional</w:t>
      </w:r>
      <w:r w:rsidR="00203BF8" w:rsidRPr="00D87A0D">
        <w:rPr>
          <w:sz w:val="20"/>
        </w:rPr>
        <w:t xml:space="preserve">. </w:t>
      </w:r>
      <w:proofErr w:type="spellStart"/>
      <w:r w:rsidR="00203BF8" w:rsidRPr="00D87A0D">
        <w:rPr>
          <w:sz w:val="20"/>
        </w:rPr>
        <w:t>Subjek</w:t>
      </w:r>
      <w:proofErr w:type="spellEnd"/>
      <w:r w:rsidR="00203BF8" w:rsidRPr="00D87A0D">
        <w:rPr>
          <w:sz w:val="20"/>
        </w:rPr>
        <w:t xml:space="preserve"> </w:t>
      </w:r>
      <w:proofErr w:type="spellStart"/>
      <w:r w:rsidR="00203BF8" w:rsidRPr="00D87A0D">
        <w:rPr>
          <w:sz w:val="20"/>
        </w:rPr>
        <w:t>diambil</w:t>
      </w:r>
      <w:proofErr w:type="spellEnd"/>
      <w:r w:rsidR="00203BF8" w:rsidRPr="00D87A0D">
        <w:rPr>
          <w:sz w:val="20"/>
        </w:rPr>
        <w:t xml:space="preserve"> </w:t>
      </w:r>
      <w:proofErr w:type="spellStart"/>
      <w:r w:rsidR="00203BF8" w:rsidRPr="00D87A0D">
        <w:rPr>
          <w:sz w:val="20"/>
        </w:rPr>
        <w:t>dengan</w:t>
      </w:r>
      <w:proofErr w:type="spellEnd"/>
      <w:r w:rsidR="00203BF8" w:rsidRPr="00D87A0D">
        <w:rPr>
          <w:sz w:val="20"/>
        </w:rPr>
        <w:t xml:space="preserve"> </w:t>
      </w:r>
      <w:proofErr w:type="spellStart"/>
      <w:proofErr w:type="gramStart"/>
      <w:r w:rsidR="00203BF8" w:rsidRPr="00D87A0D">
        <w:rPr>
          <w:sz w:val="20"/>
        </w:rPr>
        <w:t>cara</w:t>
      </w:r>
      <w:proofErr w:type="spellEnd"/>
      <w:proofErr w:type="gramEnd"/>
      <w:r w:rsidR="00203BF8" w:rsidRPr="00D87A0D">
        <w:rPr>
          <w:sz w:val="20"/>
        </w:rPr>
        <w:t xml:space="preserve"> </w:t>
      </w:r>
      <w:r w:rsidR="00203BF8" w:rsidRPr="009A033F">
        <w:rPr>
          <w:i/>
          <w:sz w:val="20"/>
        </w:rPr>
        <w:t>simple random sampling</w:t>
      </w:r>
      <w:r w:rsidR="00203BF8" w:rsidRPr="00D87A0D">
        <w:rPr>
          <w:sz w:val="20"/>
        </w:rPr>
        <w:t xml:space="preserve">. </w:t>
      </w:r>
      <w:proofErr w:type="spellStart"/>
      <w:proofErr w:type="gramStart"/>
      <w:r w:rsidR="00203BF8" w:rsidRPr="00D87A0D">
        <w:rPr>
          <w:sz w:val="20"/>
        </w:rPr>
        <w:t>Populasi</w:t>
      </w:r>
      <w:proofErr w:type="spellEnd"/>
      <w:r w:rsidR="00203BF8" w:rsidRPr="00D87A0D">
        <w:rPr>
          <w:sz w:val="20"/>
        </w:rPr>
        <w:t xml:space="preserve"> </w:t>
      </w:r>
      <w:proofErr w:type="spellStart"/>
      <w:r w:rsidR="00203BF8" w:rsidRPr="00D87A0D">
        <w:rPr>
          <w:sz w:val="20"/>
        </w:rPr>
        <w:t>penelitian</w:t>
      </w:r>
      <w:proofErr w:type="spellEnd"/>
      <w:r w:rsidR="00203BF8" w:rsidRPr="00D87A0D">
        <w:rPr>
          <w:sz w:val="20"/>
        </w:rPr>
        <w:t xml:space="preserve"> </w:t>
      </w:r>
      <w:proofErr w:type="spellStart"/>
      <w:r w:rsidR="00203BF8" w:rsidRPr="00D87A0D">
        <w:rPr>
          <w:sz w:val="20"/>
        </w:rPr>
        <w:t>ini</w:t>
      </w:r>
      <w:proofErr w:type="spellEnd"/>
      <w:r w:rsidR="00203BF8" w:rsidRPr="00D87A0D">
        <w:rPr>
          <w:sz w:val="20"/>
        </w:rPr>
        <w:t xml:space="preserve"> </w:t>
      </w:r>
      <w:proofErr w:type="spellStart"/>
      <w:r w:rsidR="00203BF8" w:rsidRPr="00D87A0D">
        <w:rPr>
          <w:sz w:val="20"/>
        </w:rPr>
        <w:t>adalah</w:t>
      </w:r>
      <w:proofErr w:type="spellEnd"/>
      <w:r w:rsidR="00203BF8" w:rsidRPr="00D87A0D">
        <w:rPr>
          <w:sz w:val="20"/>
        </w:rPr>
        <w:t xml:space="preserve"> </w:t>
      </w:r>
      <w:proofErr w:type="spellStart"/>
      <w:r w:rsidR="00203BF8" w:rsidRPr="00D87A0D">
        <w:rPr>
          <w:sz w:val="20"/>
        </w:rPr>
        <w:t>Ibu</w:t>
      </w:r>
      <w:proofErr w:type="spellEnd"/>
      <w:r w:rsidR="00203BF8" w:rsidRPr="00D87A0D">
        <w:rPr>
          <w:sz w:val="20"/>
        </w:rPr>
        <w:t xml:space="preserve"> yang </w:t>
      </w:r>
      <w:proofErr w:type="spellStart"/>
      <w:r w:rsidR="00203BF8" w:rsidRPr="00D87A0D">
        <w:rPr>
          <w:sz w:val="20"/>
        </w:rPr>
        <w:t>memiliki</w:t>
      </w:r>
      <w:proofErr w:type="spellEnd"/>
      <w:r w:rsidR="00203BF8" w:rsidRPr="00D87A0D">
        <w:rPr>
          <w:sz w:val="20"/>
        </w:rPr>
        <w:t xml:space="preserve"> </w:t>
      </w:r>
      <w:proofErr w:type="spellStart"/>
      <w:r w:rsidR="00203BF8" w:rsidRPr="00D87A0D">
        <w:rPr>
          <w:sz w:val="20"/>
        </w:rPr>
        <w:t>balita</w:t>
      </w:r>
      <w:proofErr w:type="spellEnd"/>
      <w:r w:rsidR="00203BF8" w:rsidRPr="00D87A0D">
        <w:rPr>
          <w:sz w:val="20"/>
        </w:rPr>
        <w:t xml:space="preserve"> </w:t>
      </w:r>
      <w:proofErr w:type="spellStart"/>
      <w:r w:rsidR="00203BF8" w:rsidRPr="00D87A0D">
        <w:rPr>
          <w:sz w:val="20"/>
        </w:rPr>
        <w:t>berusia</w:t>
      </w:r>
      <w:proofErr w:type="spellEnd"/>
      <w:r w:rsidR="00203BF8" w:rsidRPr="00D87A0D">
        <w:rPr>
          <w:sz w:val="20"/>
        </w:rPr>
        <w:t xml:space="preserve"> 12-24 </w:t>
      </w:r>
      <w:proofErr w:type="spellStart"/>
      <w:r w:rsidR="00203BF8" w:rsidRPr="00D87A0D">
        <w:rPr>
          <w:sz w:val="20"/>
        </w:rPr>
        <w:t>bulan</w:t>
      </w:r>
      <w:proofErr w:type="spellEnd"/>
      <w:r w:rsidR="00203BF8" w:rsidRPr="00D87A0D">
        <w:rPr>
          <w:sz w:val="20"/>
        </w:rPr>
        <w:t xml:space="preserve"> yang </w:t>
      </w:r>
      <w:proofErr w:type="spellStart"/>
      <w:r w:rsidR="00203BF8" w:rsidRPr="00D87A0D">
        <w:rPr>
          <w:sz w:val="20"/>
        </w:rPr>
        <w:t>bertempat</w:t>
      </w:r>
      <w:proofErr w:type="spellEnd"/>
      <w:r w:rsidR="00203BF8" w:rsidRPr="00D87A0D">
        <w:rPr>
          <w:sz w:val="20"/>
        </w:rPr>
        <w:t xml:space="preserve"> </w:t>
      </w:r>
      <w:proofErr w:type="spellStart"/>
      <w:r w:rsidR="00203BF8" w:rsidRPr="00D87A0D">
        <w:rPr>
          <w:sz w:val="20"/>
        </w:rPr>
        <w:t>tinggal</w:t>
      </w:r>
      <w:proofErr w:type="spellEnd"/>
      <w:r w:rsidR="00203BF8" w:rsidRPr="00D87A0D">
        <w:rPr>
          <w:sz w:val="20"/>
        </w:rPr>
        <w:t xml:space="preserve"> di </w:t>
      </w:r>
      <w:proofErr w:type="spellStart"/>
      <w:r w:rsidR="00203BF8" w:rsidRPr="00D87A0D">
        <w:rPr>
          <w:sz w:val="20"/>
        </w:rPr>
        <w:t>wilayah</w:t>
      </w:r>
      <w:proofErr w:type="spellEnd"/>
      <w:r w:rsidR="00203BF8" w:rsidRPr="00D87A0D">
        <w:rPr>
          <w:sz w:val="20"/>
        </w:rPr>
        <w:t xml:space="preserve"> </w:t>
      </w:r>
      <w:proofErr w:type="spellStart"/>
      <w:r w:rsidR="00203BF8" w:rsidRPr="00D87A0D">
        <w:rPr>
          <w:sz w:val="20"/>
        </w:rPr>
        <w:t>kerja</w:t>
      </w:r>
      <w:proofErr w:type="spellEnd"/>
      <w:r w:rsidR="00203BF8" w:rsidRPr="00D87A0D">
        <w:rPr>
          <w:sz w:val="20"/>
        </w:rPr>
        <w:t xml:space="preserve"> </w:t>
      </w:r>
      <w:proofErr w:type="spellStart"/>
      <w:r w:rsidR="00203BF8" w:rsidRPr="00D87A0D">
        <w:rPr>
          <w:sz w:val="20"/>
        </w:rPr>
        <w:t>Puskesmas</w:t>
      </w:r>
      <w:proofErr w:type="spellEnd"/>
      <w:r w:rsidR="00203BF8" w:rsidRPr="00D87A0D">
        <w:rPr>
          <w:sz w:val="20"/>
        </w:rPr>
        <w:t xml:space="preserve"> </w:t>
      </w:r>
      <w:proofErr w:type="spellStart"/>
      <w:r w:rsidR="00203BF8" w:rsidRPr="00D87A0D">
        <w:rPr>
          <w:sz w:val="20"/>
        </w:rPr>
        <w:t>Wonokusumo</w:t>
      </w:r>
      <w:proofErr w:type="spellEnd"/>
      <w:r w:rsidR="00203BF8" w:rsidRPr="00D87A0D">
        <w:rPr>
          <w:sz w:val="20"/>
        </w:rPr>
        <w:t xml:space="preserve"> Surabaya.</w:t>
      </w:r>
      <w:proofErr w:type="gramEnd"/>
      <w:r w:rsidR="00203BF8" w:rsidRPr="00D87A0D">
        <w:rPr>
          <w:sz w:val="20"/>
        </w:rPr>
        <w:t xml:space="preserve"> </w:t>
      </w:r>
      <w:proofErr w:type="spellStart"/>
      <w:proofErr w:type="gramStart"/>
      <w:r w:rsidR="00203BF8" w:rsidRPr="00D87A0D">
        <w:rPr>
          <w:sz w:val="20"/>
        </w:rPr>
        <w:t>Variabel</w:t>
      </w:r>
      <w:proofErr w:type="spellEnd"/>
      <w:r w:rsidR="00203BF8" w:rsidRPr="00D87A0D">
        <w:rPr>
          <w:sz w:val="20"/>
        </w:rPr>
        <w:t xml:space="preserve"> </w:t>
      </w:r>
      <w:proofErr w:type="spellStart"/>
      <w:r w:rsidR="00203BF8" w:rsidRPr="00D87A0D">
        <w:rPr>
          <w:sz w:val="20"/>
        </w:rPr>
        <w:t>independen</w:t>
      </w:r>
      <w:proofErr w:type="spellEnd"/>
      <w:r w:rsidR="00203BF8" w:rsidRPr="00D87A0D">
        <w:rPr>
          <w:sz w:val="20"/>
        </w:rPr>
        <w:t xml:space="preserve"> yang </w:t>
      </w:r>
      <w:proofErr w:type="spellStart"/>
      <w:r w:rsidR="00203BF8" w:rsidRPr="00D87A0D">
        <w:rPr>
          <w:sz w:val="20"/>
        </w:rPr>
        <w:t>digunakan</w:t>
      </w:r>
      <w:proofErr w:type="spellEnd"/>
      <w:r w:rsidR="00203BF8" w:rsidRPr="00D87A0D">
        <w:rPr>
          <w:sz w:val="20"/>
        </w:rPr>
        <w:t xml:space="preserve"> </w:t>
      </w:r>
      <w:proofErr w:type="spellStart"/>
      <w:r w:rsidR="00203BF8" w:rsidRPr="00D87A0D">
        <w:rPr>
          <w:sz w:val="20"/>
        </w:rPr>
        <w:t>adalah</w:t>
      </w:r>
      <w:proofErr w:type="spellEnd"/>
      <w:r w:rsidR="00203BF8" w:rsidRPr="00D87A0D">
        <w:rPr>
          <w:sz w:val="20"/>
        </w:rPr>
        <w:t xml:space="preserve"> </w:t>
      </w:r>
      <w:proofErr w:type="spellStart"/>
      <w:r w:rsidR="00203BF8" w:rsidRPr="00D87A0D">
        <w:rPr>
          <w:sz w:val="20"/>
        </w:rPr>
        <w:t>kerentanan</w:t>
      </w:r>
      <w:proofErr w:type="spellEnd"/>
      <w:r w:rsidR="00203BF8" w:rsidRPr="00D87A0D">
        <w:rPr>
          <w:sz w:val="20"/>
        </w:rPr>
        <w:t xml:space="preserve"> yang </w:t>
      </w:r>
      <w:proofErr w:type="spellStart"/>
      <w:r w:rsidR="00203BF8" w:rsidRPr="00D87A0D">
        <w:rPr>
          <w:sz w:val="20"/>
        </w:rPr>
        <w:t>dirasakan</w:t>
      </w:r>
      <w:proofErr w:type="spellEnd"/>
      <w:r w:rsidR="00203BF8" w:rsidRPr="00D87A0D">
        <w:rPr>
          <w:sz w:val="20"/>
        </w:rPr>
        <w:t xml:space="preserve">, </w:t>
      </w:r>
      <w:proofErr w:type="spellStart"/>
      <w:r w:rsidR="00203BF8" w:rsidRPr="00D87A0D">
        <w:rPr>
          <w:sz w:val="20"/>
        </w:rPr>
        <w:t>keparahan</w:t>
      </w:r>
      <w:proofErr w:type="spellEnd"/>
      <w:r w:rsidR="00203BF8" w:rsidRPr="00D87A0D">
        <w:rPr>
          <w:sz w:val="20"/>
        </w:rPr>
        <w:t xml:space="preserve"> yang </w:t>
      </w:r>
      <w:proofErr w:type="spellStart"/>
      <w:r w:rsidR="00203BF8" w:rsidRPr="00D87A0D">
        <w:rPr>
          <w:sz w:val="20"/>
        </w:rPr>
        <w:t>dirasakan</w:t>
      </w:r>
      <w:proofErr w:type="spellEnd"/>
      <w:r w:rsidR="00203BF8" w:rsidRPr="00D87A0D">
        <w:rPr>
          <w:sz w:val="20"/>
        </w:rPr>
        <w:t xml:space="preserve">, </w:t>
      </w:r>
      <w:proofErr w:type="spellStart"/>
      <w:r w:rsidR="00203BF8" w:rsidRPr="00D87A0D">
        <w:rPr>
          <w:sz w:val="20"/>
        </w:rPr>
        <w:t>manfaat</w:t>
      </w:r>
      <w:proofErr w:type="spellEnd"/>
      <w:r w:rsidR="00203BF8" w:rsidRPr="00D87A0D">
        <w:rPr>
          <w:sz w:val="20"/>
        </w:rPr>
        <w:t xml:space="preserve"> yang </w:t>
      </w:r>
      <w:proofErr w:type="spellStart"/>
      <w:r w:rsidR="00203BF8" w:rsidRPr="00D87A0D">
        <w:rPr>
          <w:sz w:val="20"/>
        </w:rPr>
        <w:t>dirasakan</w:t>
      </w:r>
      <w:proofErr w:type="spellEnd"/>
      <w:r w:rsidR="00203BF8" w:rsidRPr="00D87A0D">
        <w:rPr>
          <w:sz w:val="20"/>
        </w:rPr>
        <w:t xml:space="preserve">, </w:t>
      </w:r>
      <w:proofErr w:type="spellStart"/>
      <w:r w:rsidR="00203BF8" w:rsidRPr="00D87A0D">
        <w:rPr>
          <w:sz w:val="20"/>
        </w:rPr>
        <w:t>hambatan</w:t>
      </w:r>
      <w:proofErr w:type="spellEnd"/>
      <w:r w:rsidR="00203BF8" w:rsidRPr="00D87A0D">
        <w:rPr>
          <w:sz w:val="20"/>
        </w:rPr>
        <w:t xml:space="preserve"> yang </w:t>
      </w:r>
      <w:proofErr w:type="spellStart"/>
      <w:r w:rsidR="00203BF8" w:rsidRPr="00D87A0D">
        <w:rPr>
          <w:sz w:val="20"/>
        </w:rPr>
        <w:t>dirasakan</w:t>
      </w:r>
      <w:proofErr w:type="spellEnd"/>
      <w:r w:rsidR="00203BF8" w:rsidRPr="00D87A0D">
        <w:rPr>
          <w:sz w:val="20"/>
        </w:rPr>
        <w:t xml:space="preserve">, </w:t>
      </w:r>
      <w:proofErr w:type="spellStart"/>
      <w:r w:rsidR="00203BF8" w:rsidRPr="00D87A0D">
        <w:rPr>
          <w:sz w:val="20"/>
        </w:rPr>
        <w:t>dan</w:t>
      </w:r>
      <w:proofErr w:type="spellEnd"/>
      <w:r w:rsidR="00203BF8" w:rsidRPr="00D87A0D">
        <w:rPr>
          <w:sz w:val="20"/>
        </w:rPr>
        <w:t xml:space="preserve"> </w:t>
      </w:r>
      <w:proofErr w:type="spellStart"/>
      <w:r w:rsidR="00203BF8" w:rsidRPr="00D87A0D">
        <w:rPr>
          <w:sz w:val="20"/>
        </w:rPr>
        <w:t>isyarat</w:t>
      </w:r>
      <w:proofErr w:type="spellEnd"/>
      <w:r w:rsidR="00203BF8" w:rsidRPr="00D87A0D">
        <w:rPr>
          <w:sz w:val="20"/>
        </w:rPr>
        <w:t xml:space="preserve"> </w:t>
      </w:r>
      <w:proofErr w:type="spellStart"/>
      <w:r w:rsidR="00203BF8" w:rsidRPr="00D87A0D">
        <w:rPr>
          <w:sz w:val="20"/>
        </w:rPr>
        <w:t>untuk</w:t>
      </w:r>
      <w:proofErr w:type="spellEnd"/>
      <w:r w:rsidR="00203BF8" w:rsidRPr="00D87A0D">
        <w:rPr>
          <w:sz w:val="20"/>
        </w:rPr>
        <w:t xml:space="preserve"> </w:t>
      </w:r>
      <w:proofErr w:type="spellStart"/>
      <w:r w:rsidR="00203BF8" w:rsidRPr="00D87A0D">
        <w:rPr>
          <w:sz w:val="20"/>
        </w:rPr>
        <w:t>mengambil</w:t>
      </w:r>
      <w:proofErr w:type="spellEnd"/>
      <w:r w:rsidR="00203BF8" w:rsidRPr="00D87A0D">
        <w:rPr>
          <w:sz w:val="20"/>
        </w:rPr>
        <w:t xml:space="preserve"> </w:t>
      </w:r>
      <w:proofErr w:type="spellStart"/>
      <w:r w:rsidR="00203BF8" w:rsidRPr="00D87A0D">
        <w:rPr>
          <w:sz w:val="20"/>
        </w:rPr>
        <w:t>tindakan</w:t>
      </w:r>
      <w:proofErr w:type="spellEnd"/>
      <w:r w:rsidR="00203BF8" w:rsidRPr="00D87A0D">
        <w:rPr>
          <w:sz w:val="20"/>
        </w:rPr>
        <w:t xml:space="preserve">, </w:t>
      </w:r>
      <w:proofErr w:type="spellStart"/>
      <w:r w:rsidR="00203BF8" w:rsidRPr="00D87A0D">
        <w:rPr>
          <w:sz w:val="20"/>
        </w:rPr>
        <w:t>sedangkan</w:t>
      </w:r>
      <w:proofErr w:type="spellEnd"/>
      <w:r w:rsidR="00203BF8" w:rsidRPr="00D87A0D">
        <w:rPr>
          <w:sz w:val="20"/>
        </w:rPr>
        <w:t xml:space="preserve"> </w:t>
      </w:r>
      <w:proofErr w:type="spellStart"/>
      <w:r w:rsidR="00203BF8" w:rsidRPr="00D87A0D">
        <w:rPr>
          <w:sz w:val="20"/>
        </w:rPr>
        <w:t>variabel</w:t>
      </w:r>
      <w:proofErr w:type="spellEnd"/>
      <w:r w:rsidR="00203BF8" w:rsidRPr="00D87A0D">
        <w:rPr>
          <w:sz w:val="20"/>
        </w:rPr>
        <w:t xml:space="preserve"> </w:t>
      </w:r>
      <w:proofErr w:type="spellStart"/>
      <w:r w:rsidR="00203BF8" w:rsidRPr="00D87A0D">
        <w:rPr>
          <w:sz w:val="20"/>
        </w:rPr>
        <w:t>dependen</w:t>
      </w:r>
      <w:proofErr w:type="spellEnd"/>
      <w:r w:rsidR="00203BF8" w:rsidRPr="00D87A0D">
        <w:rPr>
          <w:sz w:val="20"/>
        </w:rPr>
        <w:t xml:space="preserve"> yang </w:t>
      </w:r>
      <w:proofErr w:type="spellStart"/>
      <w:r w:rsidR="00203BF8" w:rsidRPr="00D87A0D">
        <w:rPr>
          <w:sz w:val="20"/>
        </w:rPr>
        <w:t>digunakan</w:t>
      </w:r>
      <w:proofErr w:type="spellEnd"/>
      <w:r w:rsidR="00203BF8" w:rsidRPr="00D87A0D">
        <w:rPr>
          <w:sz w:val="20"/>
        </w:rPr>
        <w:t xml:space="preserve"> </w:t>
      </w:r>
      <w:proofErr w:type="spellStart"/>
      <w:r w:rsidR="00203BF8" w:rsidRPr="00D87A0D">
        <w:rPr>
          <w:sz w:val="20"/>
        </w:rPr>
        <w:t>adalah</w:t>
      </w:r>
      <w:proofErr w:type="spellEnd"/>
      <w:r w:rsidR="00203BF8" w:rsidRPr="00D87A0D">
        <w:rPr>
          <w:sz w:val="20"/>
        </w:rPr>
        <w:t xml:space="preserve"> </w:t>
      </w:r>
      <w:proofErr w:type="spellStart"/>
      <w:r w:rsidR="00203BF8" w:rsidRPr="00D87A0D">
        <w:rPr>
          <w:sz w:val="20"/>
        </w:rPr>
        <w:t>perilaku</w:t>
      </w:r>
      <w:proofErr w:type="spellEnd"/>
      <w:r w:rsidR="00203BF8" w:rsidRPr="00D87A0D">
        <w:rPr>
          <w:sz w:val="20"/>
        </w:rPr>
        <w:t xml:space="preserve"> </w:t>
      </w:r>
      <w:proofErr w:type="spellStart"/>
      <w:r w:rsidR="00203BF8" w:rsidRPr="00D87A0D">
        <w:rPr>
          <w:sz w:val="20"/>
        </w:rPr>
        <w:t>ibu</w:t>
      </w:r>
      <w:proofErr w:type="spellEnd"/>
      <w:r w:rsidR="00203BF8" w:rsidRPr="00D87A0D">
        <w:rPr>
          <w:sz w:val="20"/>
        </w:rPr>
        <w:t xml:space="preserve"> </w:t>
      </w:r>
      <w:proofErr w:type="spellStart"/>
      <w:r w:rsidR="00203BF8" w:rsidRPr="00D87A0D">
        <w:rPr>
          <w:sz w:val="20"/>
        </w:rPr>
        <w:t>pencegahan</w:t>
      </w:r>
      <w:proofErr w:type="spellEnd"/>
      <w:r w:rsidR="00203BF8" w:rsidRPr="00D87A0D">
        <w:rPr>
          <w:sz w:val="20"/>
        </w:rPr>
        <w:t xml:space="preserve"> BGM.</w:t>
      </w:r>
      <w:proofErr w:type="gramEnd"/>
      <w:r w:rsidR="00DD328C" w:rsidRPr="00F50129">
        <w:rPr>
          <w:rFonts w:eastAsia="MS Mincho"/>
          <w:bCs/>
          <w:kern w:val="24"/>
          <w:sz w:val="20"/>
          <w:szCs w:val="20"/>
        </w:rPr>
        <w:t xml:space="preserve"> </w:t>
      </w:r>
      <w:r w:rsidR="00203BF8">
        <w:rPr>
          <w:rFonts w:eastAsia="MS Mincho"/>
          <w:bCs/>
          <w:kern w:val="24"/>
          <w:sz w:val="20"/>
          <w:szCs w:val="20"/>
        </w:rPr>
        <w:tab/>
      </w:r>
    </w:p>
    <w:p w14:paraId="1BB9E614" w14:textId="6C076BB4" w:rsidR="00DD19D4" w:rsidRPr="00F50129" w:rsidRDefault="006840C2" w:rsidP="009A033F">
      <w:pPr>
        <w:pStyle w:val="NormalWeb"/>
        <w:spacing w:before="0" w:beforeAutospacing="0" w:after="0" w:afterAutospacing="0"/>
        <w:jc w:val="both"/>
        <w:textAlignment w:val="baseline"/>
        <w:rPr>
          <w:sz w:val="20"/>
          <w:szCs w:val="20"/>
          <w:shd w:val="clear" w:color="auto" w:fill="FFFFFF"/>
        </w:rPr>
      </w:pPr>
      <w:proofErr w:type="spellStart"/>
      <w:r w:rsidRPr="00F50129">
        <w:rPr>
          <w:rStyle w:val="highlight"/>
          <w:b/>
          <w:sz w:val="20"/>
          <w:szCs w:val="20"/>
          <w:shd w:val="clear" w:color="auto" w:fill="FFFFFF"/>
        </w:rPr>
        <w:t>Hasil</w:t>
      </w:r>
      <w:proofErr w:type="spellEnd"/>
      <w:r w:rsidR="00DD328C" w:rsidRPr="00F50129">
        <w:rPr>
          <w:rStyle w:val="highlight"/>
          <w:b/>
          <w:sz w:val="20"/>
          <w:szCs w:val="20"/>
          <w:shd w:val="clear" w:color="auto" w:fill="FFFFFF"/>
        </w:rPr>
        <w:t>:</w:t>
      </w:r>
      <w:r w:rsidR="00DD328C" w:rsidRPr="00F50129">
        <w:rPr>
          <w:rStyle w:val="highlight"/>
          <w:sz w:val="20"/>
          <w:szCs w:val="20"/>
          <w:shd w:val="clear" w:color="auto" w:fill="FFFFFF"/>
        </w:rPr>
        <w:t xml:space="preserve"> </w:t>
      </w:r>
      <w:proofErr w:type="spellStart"/>
      <w:r w:rsidR="00D45EEB" w:rsidRPr="00D87A0D">
        <w:rPr>
          <w:sz w:val="20"/>
        </w:rPr>
        <w:t>Penelitian</w:t>
      </w:r>
      <w:proofErr w:type="spellEnd"/>
      <w:r w:rsidR="00D45EEB" w:rsidRPr="00D87A0D">
        <w:rPr>
          <w:sz w:val="20"/>
        </w:rPr>
        <w:t xml:space="preserve"> </w:t>
      </w:r>
      <w:proofErr w:type="spellStart"/>
      <w:r w:rsidR="00D45EEB" w:rsidRPr="00D87A0D">
        <w:rPr>
          <w:sz w:val="20"/>
        </w:rPr>
        <w:t>ini</w:t>
      </w:r>
      <w:proofErr w:type="spellEnd"/>
      <w:r w:rsidR="00D45EEB" w:rsidRPr="00D87A0D">
        <w:rPr>
          <w:sz w:val="20"/>
        </w:rPr>
        <w:t xml:space="preserve"> </w:t>
      </w:r>
      <w:proofErr w:type="spellStart"/>
      <w:r w:rsidR="00D45EEB" w:rsidRPr="00D87A0D">
        <w:rPr>
          <w:sz w:val="20"/>
        </w:rPr>
        <w:t>menghasilkan</w:t>
      </w:r>
      <w:proofErr w:type="spellEnd"/>
      <w:r w:rsidR="00D45EEB" w:rsidRPr="00D87A0D">
        <w:rPr>
          <w:sz w:val="20"/>
        </w:rPr>
        <w:t xml:space="preserve"> </w:t>
      </w:r>
      <w:proofErr w:type="spellStart"/>
      <w:r w:rsidR="00D45EEB" w:rsidRPr="00D87A0D">
        <w:rPr>
          <w:sz w:val="20"/>
        </w:rPr>
        <w:t>beberapa</w:t>
      </w:r>
      <w:proofErr w:type="spellEnd"/>
      <w:r w:rsidR="00D45EEB" w:rsidRPr="00D87A0D">
        <w:rPr>
          <w:sz w:val="20"/>
        </w:rPr>
        <w:t xml:space="preserve"> </w:t>
      </w:r>
      <w:proofErr w:type="spellStart"/>
      <w:r w:rsidR="00D45EEB" w:rsidRPr="00D87A0D">
        <w:rPr>
          <w:sz w:val="20"/>
        </w:rPr>
        <w:t>simpulan</w:t>
      </w:r>
      <w:proofErr w:type="spellEnd"/>
      <w:r w:rsidR="00D45EEB" w:rsidRPr="00D87A0D">
        <w:rPr>
          <w:sz w:val="20"/>
        </w:rPr>
        <w:t xml:space="preserve">, </w:t>
      </w:r>
      <w:proofErr w:type="spellStart"/>
      <w:r w:rsidR="00D45EEB" w:rsidRPr="00D87A0D">
        <w:rPr>
          <w:sz w:val="20"/>
        </w:rPr>
        <w:t>yaitu</w:t>
      </w:r>
      <w:proofErr w:type="spellEnd"/>
      <w:r w:rsidR="00D45EEB" w:rsidRPr="00D87A0D">
        <w:rPr>
          <w:sz w:val="20"/>
        </w:rPr>
        <w:t xml:space="preserve"> </w:t>
      </w:r>
      <w:proofErr w:type="spellStart"/>
      <w:r w:rsidR="00D45EEB" w:rsidRPr="00D87A0D">
        <w:rPr>
          <w:sz w:val="20"/>
        </w:rPr>
        <w:t>ada</w:t>
      </w:r>
      <w:proofErr w:type="spellEnd"/>
      <w:r w:rsidR="00D45EEB" w:rsidRPr="00D87A0D">
        <w:rPr>
          <w:sz w:val="20"/>
        </w:rPr>
        <w:t xml:space="preserve"> </w:t>
      </w:r>
      <w:proofErr w:type="spellStart"/>
      <w:r w:rsidR="00D45EEB" w:rsidRPr="00D87A0D">
        <w:rPr>
          <w:sz w:val="20"/>
        </w:rPr>
        <w:t>hubungan</w:t>
      </w:r>
      <w:proofErr w:type="spellEnd"/>
      <w:r w:rsidR="00D45EEB" w:rsidRPr="00D87A0D">
        <w:rPr>
          <w:sz w:val="20"/>
        </w:rPr>
        <w:t xml:space="preserve"> yang </w:t>
      </w:r>
      <w:proofErr w:type="spellStart"/>
      <w:r w:rsidR="00D45EEB" w:rsidRPr="00D87A0D">
        <w:rPr>
          <w:sz w:val="20"/>
        </w:rPr>
        <w:t>antara</w:t>
      </w:r>
      <w:proofErr w:type="spellEnd"/>
      <w:r w:rsidR="00D45EEB" w:rsidRPr="00D87A0D">
        <w:rPr>
          <w:sz w:val="20"/>
        </w:rPr>
        <w:t xml:space="preserve"> </w:t>
      </w:r>
      <w:proofErr w:type="spellStart"/>
      <w:r w:rsidR="00D45EEB" w:rsidRPr="00D87A0D">
        <w:rPr>
          <w:sz w:val="20"/>
        </w:rPr>
        <w:t>kerentanan</w:t>
      </w:r>
      <w:proofErr w:type="spellEnd"/>
      <w:r w:rsidR="00D45EEB" w:rsidRPr="00D87A0D">
        <w:rPr>
          <w:sz w:val="20"/>
        </w:rPr>
        <w:t xml:space="preserve"> yang </w:t>
      </w:r>
      <w:proofErr w:type="spellStart"/>
      <w:r w:rsidR="00D45EEB" w:rsidRPr="00D87A0D">
        <w:rPr>
          <w:sz w:val="20"/>
        </w:rPr>
        <w:t>dirasakan</w:t>
      </w:r>
      <w:proofErr w:type="spellEnd"/>
      <w:r w:rsidR="00D45EEB" w:rsidRPr="00D87A0D">
        <w:rPr>
          <w:sz w:val="20"/>
        </w:rPr>
        <w:t xml:space="preserve"> </w:t>
      </w:r>
      <w:proofErr w:type="spellStart"/>
      <w:r w:rsidR="00D45EEB" w:rsidRPr="00D87A0D">
        <w:rPr>
          <w:sz w:val="20"/>
        </w:rPr>
        <w:t>responden</w:t>
      </w:r>
      <w:proofErr w:type="spellEnd"/>
      <w:r w:rsidR="00D45EEB" w:rsidRPr="00D87A0D">
        <w:rPr>
          <w:sz w:val="20"/>
        </w:rPr>
        <w:t xml:space="preserve"> </w:t>
      </w:r>
      <w:proofErr w:type="spellStart"/>
      <w:r w:rsidR="00D45EEB" w:rsidRPr="00D87A0D">
        <w:rPr>
          <w:sz w:val="20"/>
        </w:rPr>
        <w:t>terhadap</w:t>
      </w:r>
      <w:proofErr w:type="spellEnd"/>
      <w:r w:rsidR="00D45EEB" w:rsidRPr="00D87A0D">
        <w:rPr>
          <w:sz w:val="20"/>
        </w:rPr>
        <w:t xml:space="preserve"> </w:t>
      </w:r>
      <w:proofErr w:type="spellStart"/>
      <w:r w:rsidR="00D45EEB" w:rsidRPr="00D87A0D">
        <w:rPr>
          <w:sz w:val="20"/>
        </w:rPr>
        <w:t>tindakan</w:t>
      </w:r>
      <w:proofErr w:type="spellEnd"/>
      <w:r w:rsidR="00D45EEB" w:rsidRPr="00D87A0D">
        <w:rPr>
          <w:sz w:val="20"/>
        </w:rPr>
        <w:t xml:space="preserve"> </w:t>
      </w:r>
      <w:proofErr w:type="spellStart"/>
      <w:r w:rsidR="00D45EEB" w:rsidRPr="00D87A0D">
        <w:rPr>
          <w:sz w:val="20"/>
        </w:rPr>
        <w:t>melakukan</w:t>
      </w:r>
      <w:proofErr w:type="spellEnd"/>
      <w:r w:rsidR="00D45EEB" w:rsidRPr="00D87A0D">
        <w:rPr>
          <w:sz w:val="20"/>
        </w:rPr>
        <w:t xml:space="preserve"> </w:t>
      </w:r>
      <w:proofErr w:type="spellStart"/>
      <w:r w:rsidR="00D45EEB" w:rsidRPr="00D87A0D">
        <w:rPr>
          <w:sz w:val="20"/>
        </w:rPr>
        <w:t>pencegahan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 </w:t>
      </w:r>
      <w:proofErr w:type="spellStart"/>
      <w:r w:rsidR="00D45EEB" w:rsidRPr="00D87A0D">
        <w:rPr>
          <w:sz w:val="20"/>
        </w:rPr>
        <w:t>ada</w:t>
      </w:r>
      <w:proofErr w:type="spellEnd"/>
      <w:r w:rsidR="00D45EEB" w:rsidRPr="00D87A0D">
        <w:rPr>
          <w:sz w:val="20"/>
        </w:rPr>
        <w:t xml:space="preserve"> </w:t>
      </w:r>
      <w:proofErr w:type="spellStart"/>
      <w:r w:rsidR="00D45EEB" w:rsidRPr="00D87A0D">
        <w:rPr>
          <w:sz w:val="20"/>
        </w:rPr>
        <w:t>hubungan</w:t>
      </w:r>
      <w:proofErr w:type="spellEnd"/>
      <w:r w:rsidR="00D45EEB" w:rsidRPr="00D87A0D">
        <w:rPr>
          <w:sz w:val="20"/>
        </w:rPr>
        <w:t xml:space="preserve"> </w:t>
      </w:r>
      <w:proofErr w:type="spellStart"/>
      <w:r w:rsidR="00D45EEB" w:rsidRPr="00D87A0D">
        <w:rPr>
          <w:sz w:val="20"/>
        </w:rPr>
        <w:t>antara</w:t>
      </w:r>
      <w:proofErr w:type="spellEnd"/>
      <w:r w:rsidR="00D45EEB" w:rsidRPr="00D87A0D">
        <w:rPr>
          <w:sz w:val="20"/>
        </w:rPr>
        <w:t xml:space="preserve"> </w:t>
      </w:r>
      <w:proofErr w:type="spellStart"/>
      <w:r w:rsidR="00D45EEB" w:rsidRPr="00D87A0D">
        <w:rPr>
          <w:sz w:val="20"/>
        </w:rPr>
        <w:t>keparahan</w:t>
      </w:r>
      <w:proofErr w:type="spellEnd"/>
      <w:r w:rsidR="00D45EEB" w:rsidRPr="00D87A0D">
        <w:rPr>
          <w:sz w:val="20"/>
        </w:rPr>
        <w:t xml:space="preserve"> yang </w:t>
      </w:r>
      <w:proofErr w:type="spellStart"/>
      <w:r w:rsidR="00D45EEB" w:rsidRPr="00D87A0D">
        <w:rPr>
          <w:sz w:val="20"/>
        </w:rPr>
        <w:t>dirasakan</w:t>
      </w:r>
      <w:proofErr w:type="spellEnd"/>
      <w:r w:rsidR="00D45EEB" w:rsidRPr="00D87A0D">
        <w:rPr>
          <w:sz w:val="20"/>
        </w:rPr>
        <w:t xml:space="preserve"> </w:t>
      </w:r>
      <w:proofErr w:type="spellStart"/>
      <w:r w:rsidR="00D45EEB" w:rsidRPr="00D87A0D">
        <w:rPr>
          <w:sz w:val="20"/>
        </w:rPr>
        <w:t>responden</w:t>
      </w:r>
      <w:proofErr w:type="spellEnd"/>
      <w:r w:rsidR="00D45EEB" w:rsidRPr="00D87A0D">
        <w:rPr>
          <w:sz w:val="20"/>
        </w:rPr>
        <w:t xml:space="preserve"> </w:t>
      </w:r>
      <w:proofErr w:type="spellStart"/>
      <w:r w:rsidR="00D45EEB" w:rsidRPr="00D87A0D">
        <w:rPr>
          <w:sz w:val="20"/>
        </w:rPr>
        <w:t>terhadap</w:t>
      </w:r>
      <w:proofErr w:type="spellEnd"/>
      <w:r w:rsidR="00D45EEB" w:rsidRPr="00D87A0D">
        <w:rPr>
          <w:sz w:val="20"/>
        </w:rPr>
        <w:t xml:space="preserve"> </w:t>
      </w:r>
      <w:proofErr w:type="spellStart"/>
      <w:r w:rsidR="00D45EEB" w:rsidRPr="00D87A0D">
        <w:rPr>
          <w:sz w:val="20"/>
        </w:rPr>
        <w:t>tindakan</w:t>
      </w:r>
      <w:proofErr w:type="spellEnd"/>
      <w:r w:rsidR="00D45EEB" w:rsidRPr="00D87A0D">
        <w:rPr>
          <w:sz w:val="20"/>
        </w:rPr>
        <w:t xml:space="preserve"> </w:t>
      </w:r>
      <w:proofErr w:type="spellStart"/>
      <w:r w:rsidR="00D45EEB" w:rsidRPr="00D87A0D">
        <w:rPr>
          <w:sz w:val="20"/>
        </w:rPr>
        <w:t>pencegahan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 </w:t>
      </w:r>
      <w:proofErr w:type="spellStart"/>
      <w:r w:rsidR="00D45EEB" w:rsidRPr="00D87A0D">
        <w:rPr>
          <w:sz w:val="20"/>
        </w:rPr>
        <w:t>tidak</w:t>
      </w:r>
      <w:proofErr w:type="spellEnd"/>
      <w:r w:rsidR="00D45EEB" w:rsidRPr="00D87A0D">
        <w:rPr>
          <w:sz w:val="20"/>
        </w:rPr>
        <w:t xml:space="preserve"> </w:t>
      </w:r>
      <w:proofErr w:type="spellStart"/>
      <w:r w:rsidR="00D45EEB" w:rsidRPr="00D87A0D">
        <w:rPr>
          <w:sz w:val="20"/>
        </w:rPr>
        <w:t>ada</w:t>
      </w:r>
      <w:proofErr w:type="spellEnd"/>
      <w:r w:rsidR="00D45EEB" w:rsidRPr="00D87A0D">
        <w:rPr>
          <w:sz w:val="20"/>
        </w:rPr>
        <w:t xml:space="preserve"> </w:t>
      </w:r>
      <w:proofErr w:type="spellStart"/>
      <w:r w:rsidR="00D45EEB" w:rsidRPr="00D87A0D">
        <w:rPr>
          <w:sz w:val="20"/>
        </w:rPr>
        <w:t>hubungan</w:t>
      </w:r>
      <w:proofErr w:type="spellEnd"/>
      <w:r w:rsidR="00D45EEB" w:rsidRPr="00D87A0D">
        <w:rPr>
          <w:sz w:val="20"/>
        </w:rPr>
        <w:t xml:space="preserve"> </w:t>
      </w:r>
      <w:proofErr w:type="spellStart"/>
      <w:r w:rsidR="00D45EEB" w:rsidRPr="00D87A0D">
        <w:rPr>
          <w:sz w:val="20"/>
        </w:rPr>
        <w:t>antara</w:t>
      </w:r>
      <w:proofErr w:type="spellEnd"/>
      <w:r w:rsidR="00D45EEB" w:rsidRPr="00D87A0D">
        <w:rPr>
          <w:sz w:val="20"/>
        </w:rPr>
        <w:t xml:space="preserve"> </w:t>
      </w:r>
      <w:proofErr w:type="spellStart"/>
      <w:r w:rsidR="00D45EEB" w:rsidRPr="00D87A0D">
        <w:rPr>
          <w:sz w:val="20"/>
        </w:rPr>
        <w:t>manfaat</w:t>
      </w:r>
      <w:proofErr w:type="spellEnd"/>
      <w:r w:rsidR="00D45EEB" w:rsidRPr="00D87A0D">
        <w:rPr>
          <w:sz w:val="20"/>
        </w:rPr>
        <w:t xml:space="preserve"> yang </w:t>
      </w:r>
      <w:proofErr w:type="spellStart"/>
      <w:r w:rsidR="00D45EEB" w:rsidRPr="00D87A0D">
        <w:rPr>
          <w:sz w:val="20"/>
        </w:rPr>
        <w:t>dirasakan</w:t>
      </w:r>
      <w:proofErr w:type="spellEnd"/>
      <w:r w:rsidR="00D45EEB" w:rsidRPr="00D87A0D">
        <w:rPr>
          <w:sz w:val="20"/>
        </w:rPr>
        <w:t xml:space="preserve"> </w:t>
      </w:r>
      <w:proofErr w:type="spellStart"/>
      <w:r w:rsidR="00D45EEB" w:rsidRPr="00D87A0D">
        <w:rPr>
          <w:sz w:val="20"/>
        </w:rPr>
        <w:t>responden</w:t>
      </w:r>
      <w:proofErr w:type="spellEnd"/>
      <w:r w:rsidR="00D45EEB" w:rsidRPr="00D87A0D">
        <w:rPr>
          <w:sz w:val="20"/>
        </w:rPr>
        <w:t xml:space="preserve"> </w:t>
      </w:r>
      <w:proofErr w:type="spellStart"/>
      <w:r w:rsidR="00D45EEB" w:rsidRPr="00D87A0D">
        <w:rPr>
          <w:sz w:val="20"/>
        </w:rPr>
        <w:t>terhadap</w:t>
      </w:r>
      <w:proofErr w:type="spellEnd"/>
      <w:r w:rsidR="00D45EEB" w:rsidRPr="00D87A0D">
        <w:rPr>
          <w:sz w:val="20"/>
        </w:rPr>
        <w:t xml:space="preserve"> </w:t>
      </w:r>
      <w:proofErr w:type="spellStart"/>
      <w:r w:rsidR="00D45EEB" w:rsidRPr="00D87A0D">
        <w:rPr>
          <w:sz w:val="20"/>
        </w:rPr>
        <w:t>tindakan</w:t>
      </w:r>
      <w:proofErr w:type="spellEnd"/>
      <w:r w:rsidR="00D45EEB" w:rsidRPr="00D87A0D">
        <w:rPr>
          <w:sz w:val="20"/>
        </w:rPr>
        <w:t xml:space="preserve"> </w:t>
      </w:r>
      <w:proofErr w:type="spellStart"/>
      <w:r w:rsidR="00D45EEB" w:rsidRPr="00D87A0D">
        <w:rPr>
          <w:sz w:val="20"/>
        </w:rPr>
        <w:t>pencegahan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 </w:t>
      </w:r>
      <w:proofErr w:type="spellStart"/>
      <w:r w:rsidR="00D45EEB" w:rsidRPr="00D87A0D">
        <w:rPr>
          <w:sz w:val="20"/>
        </w:rPr>
        <w:t>tidak</w:t>
      </w:r>
      <w:proofErr w:type="spellEnd"/>
      <w:r w:rsidR="00D45EEB" w:rsidRPr="00D87A0D">
        <w:rPr>
          <w:sz w:val="20"/>
        </w:rPr>
        <w:t xml:space="preserve"> </w:t>
      </w:r>
      <w:proofErr w:type="spellStart"/>
      <w:r w:rsidR="00D45EEB" w:rsidRPr="00D87A0D">
        <w:rPr>
          <w:sz w:val="20"/>
        </w:rPr>
        <w:t>ada</w:t>
      </w:r>
      <w:proofErr w:type="spellEnd"/>
      <w:r w:rsidR="00D45EEB" w:rsidRPr="00D87A0D">
        <w:rPr>
          <w:sz w:val="20"/>
        </w:rPr>
        <w:t xml:space="preserve"> </w:t>
      </w:r>
      <w:proofErr w:type="spellStart"/>
      <w:r w:rsidR="00D45EEB" w:rsidRPr="00D87A0D">
        <w:rPr>
          <w:sz w:val="20"/>
        </w:rPr>
        <w:t>hubungan</w:t>
      </w:r>
      <w:proofErr w:type="spellEnd"/>
      <w:r w:rsidR="00D45EEB" w:rsidRPr="00D87A0D">
        <w:rPr>
          <w:sz w:val="20"/>
        </w:rPr>
        <w:t xml:space="preserve"> </w:t>
      </w:r>
      <w:proofErr w:type="spellStart"/>
      <w:r w:rsidR="00D45EEB" w:rsidRPr="00D87A0D">
        <w:rPr>
          <w:sz w:val="20"/>
        </w:rPr>
        <w:t>antara</w:t>
      </w:r>
      <w:proofErr w:type="spellEnd"/>
      <w:r w:rsidR="00D45EEB" w:rsidRPr="00D87A0D">
        <w:rPr>
          <w:sz w:val="20"/>
        </w:rPr>
        <w:t xml:space="preserve"> </w:t>
      </w:r>
      <w:proofErr w:type="spellStart"/>
      <w:r w:rsidR="00D45EEB" w:rsidRPr="00D87A0D">
        <w:rPr>
          <w:sz w:val="20"/>
        </w:rPr>
        <w:t>hambatan</w:t>
      </w:r>
      <w:proofErr w:type="spellEnd"/>
      <w:r w:rsidR="00D45EEB" w:rsidRPr="00D87A0D">
        <w:rPr>
          <w:sz w:val="20"/>
        </w:rPr>
        <w:t xml:space="preserve"> yang </w:t>
      </w:r>
      <w:proofErr w:type="spellStart"/>
      <w:r w:rsidR="00D45EEB" w:rsidRPr="00D87A0D">
        <w:rPr>
          <w:sz w:val="20"/>
        </w:rPr>
        <w:t>dirasakan</w:t>
      </w:r>
      <w:proofErr w:type="spellEnd"/>
      <w:r w:rsidR="00D45EEB" w:rsidRPr="00D87A0D">
        <w:rPr>
          <w:sz w:val="20"/>
        </w:rPr>
        <w:t xml:space="preserve"> </w:t>
      </w:r>
      <w:proofErr w:type="spellStart"/>
      <w:r w:rsidR="00D45EEB" w:rsidRPr="00D87A0D">
        <w:rPr>
          <w:sz w:val="20"/>
        </w:rPr>
        <w:t>responden</w:t>
      </w:r>
      <w:proofErr w:type="spellEnd"/>
      <w:r w:rsidR="00D45EEB" w:rsidRPr="00D87A0D">
        <w:rPr>
          <w:sz w:val="20"/>
        </w:rPr>
        <w:t xml:space="preserve"> </w:t>
      </w:r>
      <w:proofErr w:type="spellStart"/>
      <w:r w:rsidR="00D45EEB" w:rsidRPr="00D87A0D">
        <w:rPr>
          <w:sz w:val="20"/>
        </w:rPr>
        <w:t>terhadap</w:t>
      </w:r>
      <w:proofErr w:type="spellEnd"/>
      <w:r w:rsidR="00D45EEB" w:rsidRPr="00D87A0D">
        <w:rPr>
          <w:sz w:val="20"/>
        </w:rPr>
        <w:t xml:space="preserve"> </w:t>
      </w:r>
      <w:proofErr w:type="spellStart"/>
      <w:r w:rsidR="00D45EEB" w:rsidRPr="00D87A0D">
        <w:rPr>
          <w:sz w:val="20"/>
        </w:rPr>
        <w:t>tindakan</w:t>
      </w:r>
      <w:proofErr w:type="spellEnd"/>
      <w:r w:rsidR="00D45EEB" w:rsidRPr="00D87A0D">
        <w:rPr>
          <w:sz w:val="20"/>
        </w:rPr>
        <w:t xml:space="preserve"> </w:t>
      </w:r>
      <w:proofErr w:type="spellStart"/>
      <w:r w:rsidR="00D45EEB" w:rsidRPr="00D87A0D">
        <w:rPr>
          <w:sz w:val="20"/>
        </w:rPr>
        <w:t>pencegahan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 </w:t>
      </w:r>
      <w:proofErr w:type="spellStart"/>
      <w:r w:rsidR="00D45EEB" w:rsidRPr="00D87A0D">
        <w:rPr>
          <w:sz w:val="20"/>
        </w:rPr>
        <w:t>dan</w:t>
      </w:r>
      <w:proofErr w:type="spellEnd"/>
      <w:r w:rsidR="00D45EEB" w:rsidRPr="00D87A0D">
        <w:rPr>
          <w:sz w:val="20"/>
        </w:rPr>
        <w:t xml:space="preserve"> </w:t>
      </w:r>
      <w:proofErr w:type="spellStart"/>
      <w:r w:rsidR="00D45EEB" w:rsidRPr="00D87A0D">
        <w:rPr>
          <w:sz w:val="20"/>
        </w:rPr>
        <w:t>tidak</w:t>
      </w:r>
      <w:proofErr w:type="spellEnd"/>
      <w:r w:rsidR="00D45EEB" w:rsidRPr="00D87A0D">
        <w:rPr>
          <w:sz w:val="20"/>
        </w:rPr>
        <w:t xml:space="preserve"> </w:t>
      </w:r>
      <w:proofErr w:type="spellStart"/>
      <w:r w:rsidR="00D45EEB" w:rsidRPr="00D87A0D">
        <w:rPr>
          <w:sz w:val="20"/>
        </w:rPr>
        <w:t>ada</w:t>
      </w:r>
      <w:proofErr w:type="spellEnd"/>
      <w:r w:rsidR="00D45EEB" w:rsidRPr="00D87A0D">
        <w:rPr>
          <w:sz w:val="20"/>
        </w:rPr>
        <w:t xml:space="preserve"> </w:t>
      </w:r>
      <w:proofErr w:type="spellStart"/>
      <w:r w:rsidR="00D45EEB" w:rsidRPr="00D87A0D">
        <w:rPr>
          <w:sz w:val="20"/>
        </w:rPr>
        <w:t>hubungan</w:t>
      </w:r>
      <w:proofErr w:type="spellEnd"/>
      <w:r w:rsidR="00D45EEB" w:rsidRPr="00D87A0D">
        <w:rPr>
          <w:sz w:val="20"/>
        </w:rPr>
        <w:t xml:space="preserve"> </w:t>
      </w:r>
      <w:proofErr w:type="spellStart"/>
      <w:r w:rsidR="00D45EEB" w:rsidRPr="00D87A0D">
        <w:rPr>
          <w:sz w:val="20"/>
        </w:rPr>
        <w:t>antara</w:t>
      </w:r>
      <w:proofErr w:type="spellEnd"/>
      <w:r w:rsidR="00D45EEB" w:rsidRPr="00D87A0D">
        <w:rPr>
          <w:sz w:val="20"/>
        </w:rPr>
        <w:t xml:space="preserve"> </w:t>
      </w:r>
      <w:proofErr w:type="spellStart"/>
      <w:r w:rsidR="00D45EEB" w:rsidRPr="00D87A0D">
        <w:rPr>
          <w:sz w:val="20"/>
        </w:rPr>
        <w:t>isyarat</w:t>
      </w:r>
      <w:proofErr w:type="spellEnd"/>
      <w:r w:rsidR="00D45EEB" w:rsidRPr="00D87A0D">
        <w:rPr>
          <w:sz w:val="20"/>
        </w:rPr>
        <w:t xml:space="preserve"> </w:t>
      </w:r>
      <w:proofErr w:type="spellStart"/>
      <w:r w:rsidR="00D45EEB" w:rsidRPr="00D87A0D">
        <w:rPr>
          <w:sz w:val="20"/>
        </w:rPr>
        <w:t>untuk</w:t>
      </w:r>
      <w:proofErr w:type="spellEnd"/>
      <w:r w:rsidR="00D45EEB" w:rsidRPr="00D87A0D">
        <w:rPr>
          <w:sz w:val="20"/>
        </w:rPr>
        <w:t xml:space="preserve"> </w:t>
      </w:r>
      <w:proofErr w:type="spellStart"/>
      <w:r w:rsidR="00D45EEB" w:rsidRPr="00D87A0D">
        <w:rPr>
          <w:sz w:val="20"/>
        </w:rPr>
        <w:t>bertindak</w:t>
      </w:r>
      <w:proofErr w:type="spellEnd"/>
      <w:r w:rsidR="00D45EEB" w:rsidRPr="00D87A0D">
        <w:rPr>
          <w:sz w:val="20"/>
        </w:rPr>
        <w:t xml:space="preserve"> </w:t>
      </w:r>
      <w:proofErr w:type="spellStart"/>
      <w:r w:rsidR="00D45EEB" w:rsidRPr="00D87A0D">
        <w:rPr>
          <w:sz w:val="20"/>
        </w:rPr>
        <w:t>terhadap</w:t>
      </w:r>
      <w:proofErr w:type="spellEnd"/>
      <w:r w:rsidR="00D45EEB" w:rsidRPr="00D87A0D">
        <w:rPr>
          <w:sz w:val="20"/>
        </w:rPr>
        <w:t xml:space="preserve"> </w:t>
      </w:r>
      <w:proofErr w:type="spellStart"/>
      <w:r w:rsidR="00D45EEB" w:rsidRPr="00D87A0D">
        <w:rPr>
          <w:sz w:val="20"/>
        </w:rPr>
        <w:t>tindakan</w:t>
      </w:r>
      <w:proofErr w:type="spellEnd"/>
      <w:r w:rsidR="00D45EEB" w:rsidRPr="00D87A0D">
        <w:rPr>
          <w:sz w:val="20"/>
        </w:rPr>
        <w:t xml:space="preserve"> </w:t>
      </w:r>
      <w:proofErr w:type="spellStart"/>
      <w:r w:rsidR="00D45EEB" w:rsidRPr="00D87A0D">
        <w:rPr>
          <w:sz w:val="20"/>
        </w:rPr>
        <w:t>pencegahan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w:t>
      </w:r>
    </w:p>
    <w:p w14:paraId="45BC45B0" w14:textId="253CD489" w:rsidR="00DD328C" w:rsidRPr="00F50129" w:rsidRDefault="006840C2" w:rsidP="009A033F">
      <w:pPr>
        <w:pStyle w:val="NormalWeb"/>
        <w:spacing w:before="0" w:beforeAutospacing="0" w:after="0" w:afterAutospacing="0"/>
        <w:jc w:val="both"/>
        <w:textAlignment w:val="baseline"/>
        <w:rPr>
          <w:sz w:val="20"/>
          <w:szCs w:val="20"/>
        </w:rPr>
      </w:pPr>
      <w:proofErr w:type="spellStart"/>
      <w:r w:rsidRPr="00F50129">
        <w:rPr>
          <w:rFonts w:eastAsia="MS Mincho"/>
          <w:b/>
          <w:bCs/>
          <w:kern w:val="24"/>
          <w:sz w:val="20"/>
          <w:szCs w:val="20"/>
        </w:rPr>
        <w:t>Kesimpulan</w:t>
      </w:r>
      <w:proofErr w:type="spellEnd"/>
      <w:r w:rsidR="00DD328C" w:rsidRPr="00F50129">
        <w:rPr>
          <w:rFonts w:eastAsia="MS Mincho"/>
          <w:b/>
          <w:bCs/>
          <w:kern w:val="24"/>
          <w:sz w:val="20"/>
          <w:szCs w:val="20"/>
        </w:rPr>
        <w:t>:</w:t>
      </w:r>
      <w:r w:rsidR="00DD328C" w:rsidRPr="00F50129">
        <w:rPr>
          <w:sz w:val="20"/>
          <w:szCs w:val="20"/>
        </w:rPr>
        <w:t xml:space="preserve"> </w:t>
      </w:r>
      <w:proofErr w:type="spellStart"/>
      <w:r w:rsidR="00D45EEB" w:rsidRPr="00D87A0D">
        <w:rPr>
          <w:sz w:val="20"/>
        </w:rPr>
        <w:t>Studi</w:t>
      </w:r>
      <w:proofErr w:type="spellEnd"/>
      <w:r w:rsidR="00D45EEB" w:rsidRPr="00D87A0D">
        <w:rPr>
          <w:sz w:val="20"/>
        </w:rPr>
        <w:t xml:space="preserve"> </w:t>
      </w:r>
      <w:proofErr w:type="spellStart"/>
      <w:r w:rsidR="00D45EEB" w:rsidRPr="00D87A0D">
        <w:rPr>
          <w:sz w:val="20"/>
        </w:rPr>
        <w:t>ini</w:t>
      </w:r>
      <w:proofErr w:type="spellEnd"/>
      <w:r w:rsidR="00D45EEB" w:rsidRPr="00D87A0D">
        <w:rPr>
          <w:sz w:val="20"/>
        </w:rPr>
        <w:t xml:space="preserve"> </w:t>
      </w:r>
      <w:proofErr w:type="spellStart"/>
      <w:r w:rsidR="00D45EEB" w:rsidRPr="00D87A0D">
        <w:rPr>
          <w:sz w:val="20"/>
        </w:rPr>
        <w:t>memandang</w:t>
      </w:r>
      <w:proofErr w:type="spellEnd"/>
      <w:r w:rsidR="00D45EEB" w:rsidRPr="00D87A0D">
        <w:rPr>
          <w:sz w:val="20"/>
        </w:rPr>
        <w:t xml:space="preserve"> </w:t>
      </w:r>
      <w:proofErr w:type="spellStart"/>
      <w:r w:rsidR="00D45EEB" w:rsidRPr="00D87A0D">
        <w:rPr>
          <w:sz w:val="20"/>
        </w:rPr>
        <w:t>pentingnya</w:t>
      </w:r>
      <w:proofErr w:type="spellEnd"/>
      <w:r w:rsidR="00D45EEB" w:rsidRPr="00D87A0D">
        <w:rPr>
          <w:sz w:val="20"/>
        </w:rPr>
        <w:t xml:space="preserve"> </w:t>
      </w:r>
      <w:proofErr w:type="spellStart"/>
      <w:r w:rsidR="00D45EEB" w:rsidRPr="00D87A0D">
        <w:rPr>
          <w:sz w:val="20"/>
        </w:rPr>
        <w:t>memantau</w:t>
      </w:r>
      <w:proofErr w:type="spellEnd"/>
      <w:r w:rsidR="00D45EEB" w:rsidRPr="00D87A0D">
        <w:rPr>
          <w:sz w:val="20"/>
        </w:rPr>
        <w:t xml:space="preserve"> </w:t>
      </w:r>
      <w:proofErr w:type="spellStart"/>
      <w:r w:rsidR="00D45EEB" w:rsidRPr="00D87A0D">
        <w:rPr>
          <w:sz w:val="20"/>
        </w:rPr>
        <w:t>pertumbuhan</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di </w:t>
      </w:r>
      <w:proofErr w:type="spellStart"/>
      <w:r w:rsidR="00D45EEB" w:rsidRPr="00D87A0D">
        <w:rPr>
          <w:sz w:val="20"/>
        </w:rPr>
        <w:t>posyandu</w:t>
      </w:r>
      <w:proofErr w:type="spellEnd"/>
      <w:r w:rsidR="00D45EEB" w:rsidRPr="00D87A0D">
        <w:rPr>
          <w:sz w:val="20"/>
        </w:rPr>
        <w:t xml:space="preserve"> </w:t>
      </w:r>
      <w:proofErr w:type="spellStart"/>
      <w:r w:rsidR="00D45EEB" w:rsidRPr="00D87A0D">
        <w:rPr>
          <w:sz w:val="20"/>
        </w:rPr>
        <w:t>dan</w:t>
      </w:r>
      <w:proofErr w:type="spellEnd"/>
      <w:r w:rsidR="00D45EEB" w:rsidRPr="00D87A0D">
        <w:rPr>
          <w:sz w:val="20"/>
        </w:rPr>
        <w:t xml:space="preserve"> </w:t>
      </w:r>
      <w:proofErr w:type="spellStart"/>
      <w:r w:rsidR="00D45EEB" w:rsidRPr="00D87A0D">
        <w:rPr>
          <w:sz w:val="20"/>
        </w:rPr>
        <w:t>pemberian</w:t>
      </w:r>
      <w:proofErr w:type="spellEnd"/>
      <w:r w:rsidR="00D45EEB" w:rsidRPr="00D87A0D">
        <w:rPr>
          <w:sz w:val="20"/>
        </w:rPr>
        <w:t xml:space="preserve"> PMT </w:t>
      </w:r>
      <w:proofErr w:type="spellStart"/>
      <w:r w:rsidR="00D45EEB" w:rsidRPr="00D87A0D">
        <w:rPr>
          <w:sz w:val="20"/>
        </w:rPr>
        <w:t>dapat</w:t>
      </w:r>
      <w:proofErr w:type="spellEnd"/>
      <w:r w:rsidR="00D45EEB" w:rsidRPr="00D87A0D">
        <w:rPr>
          <w:sz w:val="20"/>
        </w:rPr>
        <w:t xml:space="preserve"> </w:t>
      </w:r>
      <w:proofErr w:type="spellStart"/>
      <w:r w:rsidR="00D45EEB" w:rsidRPr="00D87A0D">
        <w:rPr>
          <w:sz w:val="20"/>
        </w:rPr>
        <w:t>mencegah</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BGM, </w:t>
      </w:r>
      <w:proofErr w:type="spellStart"/>
      <w:r w:rsidR="00D45EEB" w:rsidRPr="00D87A0D">
        <w:rPr>
          <w:sz w:val="20"/>
        </w:rPr>
        <w:t>karena</w:t>
      </w:r>
      <w:proofErr w:type="spellEnd"/>
      <w:r w:rsidR="00D45EEB" w:rsidRPr="00D87A0D">
        <w:rPr>
          <w:sz w:val="20"/>
        </w:rPr>
        <w:t xml:space="preserve"> </w:t>
      </w:r>
      <w:proofErr w:type="spellStart"/>
      <w:r w:rsidR="00D45EEB" w:rsidRPr="00D87A0D">
        <w:rPr>
          <w:sz w:val="20"/>
        </w:rPr>
        <w:t>Pemberian</w:t>
      </w:r>
      <w:proofErr w:type="spellEnd"/>
      <w:r w:rsidR="00D45EEB" w:rsidRPr="00D87A0D">
        <w:rPr>
          <w:sz w:val="20"/>
        </w:rPr>
        <w:t xml:space="preserve"> </w:t>
      </w:r>
      <w:proofErr w:type="spellStart"/>
      <w:r w:rsidR="00D45EEB" w:rsidRPr="00D87A0D">
        <w:rPr>
          <w:sz w:val="20"/>
        </w:rPr>
        <w:t>Makanan</w:t>
      </w:r>
      <w:proofErr w:type="spellEnd"/>
      <w:r w:rsidR="00D45EEB" w:rsidRPr="00D87A0D">
        <w:rPr>
          <w:sz w:val="20"/>
        </w:rPr>
        <w:t xml:space="preserve"> </w:t>
      </w:r>
      <w:proofErr w:type="spellStart"/>
      <w:r w:rsidR="00D45EEB" w:rsidRPr="00D87A0D">
        <w:rPr>
          <w:sz w:val="20"/>
        </w:rPr>
        <w:t>Tambahan</w:t>
      </w:r>
      <w:proofErr w:type="spellEnd"/>
      <w:r w:rsidR="00D45EEB" w:rsidRPr="00D87A0D">
        <w:rPr>
          <w:sz w:val="20"/>
        </w:rPr>
        <w:t xml:space="preserve"> (PMT) yang </w:t>
      </w:r>
      <w:proofErr w:type="spellStart"/>
      <w:r w:rsidR="00D45EEB" w:rsidRPr="00D87A0D">
        <w:rPr>
          <w:sz w:val="20"/>
        </w:rPr>
        <w:t>diberikan</w:t>
      </w:r>
      <w:proofErr w:type="spellEnd"/>
      <w:r w:rsidR="00D45EEB" w:rsidRPr="00D87A0D">
        <w:rPr>
          <w:sz w:val="20"/>
        </w:rPr>
        <w:t xml:space="preserve"> </w:t>
      </w:r>
      <w:proofErr w:type="spellStart"/>
      <w:r w:rsidR="00D45EEB" w:rsidRPr="00D87A0D">
        <w:rPr>
          <w:sz w:val="20"/>
        </w:rPr>
        <w:t>pada</w:t>
      </w:r>
      <w:proofErr w:type="spellEnd"/>
      <w:r w:rsidR="00D45EEB" w:rsidRPr="00D87A0D">
        <w:rPr>
          <w:sz w:val="20"/>
        </w:rPr>
        <w:t xml:space="preserve"> </w:t>
      </w:r>
      <w:proofErr w:type="spellStart"/>
      <w:r w:rsidR="00D45EEB" w:rsidRPr="00D87A0D">
        <w:rPr>
          <w:sz w:val="20"/>
        </w:rPr>
        <w:t>balita</w:t>
      </w:r>
      <w:proofErr w:type="spellEnd"/>
      <w:r w:rsidR="00D45EEB" w:rsidRPr="00D87A0D">
        <w:rPr>
          <w:sz w:val="20"/>
        </w:rPr>
        <w:t xml:space="preserve"> </w:t>
      </w:r>
      <w:proofErr w:type="spellStart"/>
      <w:r w:rsidR="00D45EEB" w:rsidRPr="00D87A0D">
        <w:rPr>
          <w:sz w:val="20"/>
        </w:rPr>
        <w:t>gizi</w:t>
      </w:r>
      <w:proofErr w:type="spellEnd"/>
      <w:r w:rsidR="00D45EEB" w:rsidRPr="00D87A0D">
        <w:rPr>
          <w:sz w:val="20"/>
        </w:rPr>
        <w:t xml:space="preserve"> </w:t>
      </w:r>
      <w:proofErr w:type="spellStart"/>
      <w:r w:rsidR="00D45EEB" w:rsidRPr="00D87A0D">
        <w:rPr>
          <w:sz w:val="20"/>
        </w:rPr>
        <w:t>buruk</w:t>
      </w:r>
      <w:proofErr w:type="spellEnd"/>
      <w:r w:rsidR="00D45EEB" w:rsidRPr="00D87A0D">
        <w:rPr>
          <w:sz w:val="20"/>
        </w:rPr>
        <w:t xml:space="preserve"> </w:t>
      </w:r>
      <w:proofErr w:type="spellStart"/>
      <w:r w:rsidR="00D45EEB" w:rsidRPr="00D87A0D">
        <w:rPr>
          <w:sz w:val="20"/>
        </w:rPr>
        <w:t>bertujuan</w:t>
      </w:r>
      <w:proofErr w:type="spellEnd"/>
      <w:r w:rsidR="00D45EEB" w:rsidRPr="00D87A0D">
        <w:rPr>
          <w:sz w:val="20"/>
        </w:rPr>
        <w:t xml:space="preserve"> </w:t>
      </w:r>
      <w:proofErr w:type="spellStart"/>
      <w:r w:rsidR="00D45EEB" w:rsidRPr="00D87A0D">
        <w:rPr>
          <w:sz w:val="20"/>
        </w:rPr>
        <w:t>memberikan</w:t>
      </w:r>
      <w:proofErr w:type="spellEnd"/>
      <w:r w:rsidR="00D45EEB" w:rsidRPr="00D87A0D">
        <w:rPr>
          <w:sz w:val="20"/>
        </w:rPr>
        <w:t xml:space="preserve"> </w:t>
      </w:r>
      <w:proofErr w:type="spellStart"/>
      <w:r w:rsidR="00D45EEB" w:rsidRPr="00D87A0D">
        <w:rPr>
          <w:sz w:val="20"/>
        </w:rPr>
        <w:t>asupan</w:t>
      </w:r>
      <w:proofErr w:type="spellEnd"/>
      <w:r w:rsidR="00D45EEB" w:rsidRPr="00D87A0D">
        <w:rPr>
          <w:sz w:val="20"/>
        </w:rPr>
        <w:t xml:space="preserve"> yang </w:t>
      </w:r>
      <w:proofErr w:type="spellStart"/>
      <w:r w:rsidR="00D45EEB" w:rsidRPr="00D87A0D">
        <w:rPr>
          <w:sz w:val="20"/>
        </w:rPr>
        <w:t>tinggi</w:t>
      </w:r>
      <w:proofErr w:type="spellEnd"/>
      <w:r w:rsidR="00D45EEB" w:rsidRPr="00D87A0D">
        <w:rPr>
          <w:sz w:val="20"/>
        </w:rPr>
        <w:t xml:space="preserve">, </w:t>
      </w:r>
      <w:proofErr w:type="spellStart"/>
      <w:r w:rsidR="00D45EEB" w:rsidRPr="00D87A0D">
        <w:rPr>
          <w:sz w:val="20"/>
        </w:rPr>
        <w:t>tinggi</w:t>
      </w:r>
      <w:proofErr w:type="spellEnd"/>
      <w:r w:rsidR="00D45EEB" w:rsidRPr="00D87A0D">
        <w:rPr>
          <w:sz w:val="20"/>
        </w:rPr>
        <w:t xml:space="preserve"> protein </w:t>
      </w:r>
      <w:proofErr w:type="spellStart"/>
      <w:r w:rsidR="00D45EEB" w:rsidRPr="00D87A0D">
        <w:rPr>
          <w:sz w:val="20"/>
        </w:rPr>
        <w:t>dan</w:t>
      </w:r>
      <w:proofErr w:type="spellEnd"/>
      <w:r w:rsidR="00D45EEB" w:rsidRPr="00D87A0D">
        <w:rPr>
          <w:sz w:val="20"/>
        </w:rPr>
        <w:t xml:space="preserve"> </w:t>
      </w:r>
      <w:proofErr w:type="spellStart"/>
      <w:r w:rsidR="00D45EEB" w:rsidRPr="00D87A0D">
        <w:rPr>
          <w:sz w:val="20"/>
        </w:rPr>
        <w:t>cukup</w:t>
      </w:r>
      <w:proofErr w:type="spellEnd"/>
      <w:r w:rsidR="00D45EEB" w:rsidRPr="00D87A0D">
        <w:rPr>
          <w:sz w:val="20"/>
        </w:rPr>
        <w:t xml:space="preserve"> vitamin </w:t>
      </w:r>
      <w:proofErr w:type="spellStart"/>
      <w:r w:rsidR="00D45EEB" w:rsidRPr="00D87A0D">
        <w:rPr>
          <w:sz w:val="20"/>
        </w:rPr>
        <w:t>dan</w:t>
      </w:r>
      <w:proofErr w:type="spellEnd"/>
      <w:r w:rsidR="00D45EEB" w:rsidRPr="00D87A0D">
        <w:rPr>
          <w:sz w:val="20"/>
        </w:rPr>
        <w:t xml:space="preserve"> mineral </w:t>
      </w:r>
      <w:proofErr w:type="spellStart"/>
      <w:r w:rsidR="00D45EEB" w:rsidRPr="00D87A0D">
        <w:rPr>
          <w:sz w:val="20"/>
        </w:rPr>
        <w:t>secara</w:t>
      </w:r>
      <w:proofErr w:type="spellEnd"/>
      <w:r w:rsidR="00D45EEB" w:rsidRPr="00D87A0D">
        <w:rPr>
          <w:sz w:val="20"/>
        </w:rPr>
        <w:t xml:space="preserve"> </w:t>
      </w:r>
      <w:proofErr w:type="spellStart"/>
      <w:r w:rsidR="00D45EEB" w:rsidRPr="00D87A0D">
        <w:rPr>
          <w:sz w:val="20"/>
        </w:rPr>
        <w:t>bertahap</w:t>
      </w:r>
      <w:proofErr w:type="spellEnd"/>
      <w:r w:rsidR="00D45EEB" w:rsidRPr="00D87A0D">
        <w:rPr>
          <w:sz w:val="20"/>
        </w:rPr>
        <w:t xml:space="preserve">, </w:t>
      </w:r>
      <w:proofErr w:type="spellStart"/>
      <w:r w:rsidR="00D45EEB" w:rsidRPr="00D87A0D">
        <w:rPr>
          <w:sz w:val="20"/>
        </w:rPr>
        <w:t>guna</w:t>
      </w:r>
      <w:proofErr w:type="spellEnd"/>
      <w:r w:rsidR="00D45EEB" w:rsidRPr="00D87A0D">
        <w:rPr>
          <w:sz w:val="20"/>
        </w:rPr>
        <w:t xml:space="preserve"> </w:t>
      </w:r>
      <w:proofErr w:type="spellStart"/>
      <w:r w:rsidR="00D45EEB" w:rsidRPr="00D87A0D">
        <w:rPr>
          <w:sz w:val="20"/>
        </w:rPr>
        <w:t>mencapai</w:t>
      </w:r>
      <w:proofErr w:type="spellEnd"/>
      <w:r w:rsidR="00D45EEB" w:rsidRPr="00D87A0D">
        <w:rPr>
          <w:sz w:val="20"/>
        </w:rPr>
        <w:t xml:space="preserve"> status </w:t>
      </w:r>
      <w:proofErr w:type="spellStart"/>
      <w:r w:rsidR="00D45EEB" w:rsidRPr="00D87A0D">
        <w:rPr>
          <w:sz w:val="20"/>
        </w:rPr>
        <w:t>gizi</w:t>
      </w:r>
      <w:proofErr w:type="spellEnd"/>
      <w:r w:rsidR="00D45EEB" w:rsidRPr="00D87A0D">
        <w:rPr>
          <w:sz w:val="20"/>
        </w:rPr>
        <w:t xml:space="preserve"> </w:t>
      </w:r>
      <w:proofErr w:type="spellStart"/>
      <w:r w:rsidR="00D45EEB" w:rsidRPr="00D87A0D">
        <w:rPr>
          <w:sz w:val="20"/>
        </w:rPr>
        <w:t>tetap</w:t>
      </w:r>
      <w:proofErr w:type="spellEnd"/>
      <w:r w:rsidR="00D45EEB" w:rsidRPr="00D87A0D">
        <w:rPr>
          <w:sz w:val="20"/>
        </w:rPr>
        <w:t xml:space="preserve"> optimal </w:t>
      </w:r>
      <w:proofErr w:type="spellStart"/>
      <w:r w:rsidR="00D45EEB" w:rsidRPr="00D87A0D">
        <w:rPr>
          <w:sz w:val="20"/>
        </w:rPr>
        <w:t>dan</w:t>
      </w:r>
      <w:proofErr w:type="spellEnd"/>
      <w:r w:rsidR="00D45EEB" w:rsidRPr="00D87A0D">
        <w:rPr>
          <w:sz w:val="20"/>
        </w:rPr>
        <w:t xml:space="preserve"> </w:t>
      </w:r>
      <w:proofErr w:type="spellStart"/>
      <w:r w:rsidR="00D45EEB" w:rsidRPr="00D87A0D">
        <w:rPr>
          <w:sz w:val="20"/>
        </w:rPr>
        <w:t>gizi</w:t>
      </w:r>
      <w:proofErr w:type="spellEnd"/>
      <w:r w:rsidR="00D45EEB" w:rsidRPr="00D87A0D">
        <w:rPr>
          <w:sz w:val="20"/>
        </w:rPr>
        <w:t xml:space="preserve"> yang </w:t>
      </w:r>
      <w:proofErr w:type="spellStart"/>
      <w:r w:rsidR="00D45EEB" w:rsidRPr="00D87A0D">
        <w:rPr>
          <w:sz w:val="20"/>
        </w:rPr>
        <w:t>seimbang</w:t>
      </w:r>
      <w:proofErr w:type="spellEnd"/>
      <w:r w:rsidR="00D45EEB" w:rsidRPr="00D87A0D">
        <w:rPr>
          <w:sz w:val="20"/>
        </w:rPr>
        <w:t>.</w:t>
      </w:r>
      <w:r w:rsidR="00DD328C" w:rsidRPr="00F50129">
        <w:rPr>
          <w:sz w:val="20"/>
          <w:szCs w:val="20"/>
        </w:rPr>
        <w:t xml:space="preserve"> </w:t>
      </w:r>
    </w:p>
    <w:p w14:paraId="62CA4228" w14:textId="77777777" w:rsidR="00DD19D4" w:rsidRPr="00F50129" w:rsidRDefault="00DD19D4" w:rsidP="00DD19D4">
      <w:pPr>
        <w:pStyle w:val="NormalWeb"/>
        <w:spacing w:before="86" w:beforeAutospacing="0" w:after="0" w:afterAutospacing="0"/>
        <w:jc w:val="both"/>
        <w:textAlignment w:val="baseline"/>
        <w:rPr>
          <w:sz w:val="20"/>
          <w:szCs w:val="20"/>
        </w:rPr>
      </w:pPr>
    </w:p>
    <w:p w14:paraId="0458F4D7" w14:textId="18BEDAE8" w:rsidR="00DD328C" w:rsidRPr="00F50129" w:rsidRDefault="006840C2" w:rsidP="00DD19D4">
      <w:pPr>
        <w:pStyle w:val="NormalWeb"/>
        <w:spacing w:before="0" w:beforeAutospacing="0" w:after="0" w:afterAutospacing="0"/>
        <w:jc w:val="both"/>
        <w:textAlignment w:val="baseline"/>
        <w:rPr>
          <w:sz w:val="20"/>
          <w:szCs w:val="20"/>
        </w:rPr>
      </w:pPr>
      <w:r w:rsidRPr="00F50129">
        <w:rPr>
          <w:b/>
          <w:sz w:val="20"/>
          <w:szCs w:val="20"/>
        </w:rPr>
        <w:t xml:space="preserve">Kata </w:t>
      </w:r>
      <w:proofErr w:type="spellStart"/>
      <w:proofErr w:type="gramStart"/>
      <w:r w:rsidRPr="00F50129">
        <w:rPr>
          <w:b/>
          <w:sz w:val="20"/>
          <w:szCs w:val="20"/>
        </w:rPr>
        <w:t>kunci</w:t>
      </w:r>
      <w:proofErr w:type="spellEnd"/>
      <w:r w:rsidR="00B85BD9">
        <w:rPr>
          <w:b/>
          <w:sz w:val="20"/>
          <w:szCs w:val="20"/>
        </w:rPr>
        <w:t xml:space="preserve"> :</w:t>
      </w:r>
      <w:proofErr w:type="gramEnd"/>
      <w:r w:rsidR="00D45EEB" w:rsidRPr="00D45EEB">
        <w:rPr>
          <w:sz w:val="20"/>
        </w:rPr>
        <w:t xml:space="preserve"> </w:t>
      </w:r>
      <w:r w:rsidR="001616D3">
        <w:rPr>
          <w:sz w:val="20"/>
        </w:rPr>
        <w:t xml:space="preserve">BGM, KMS, </w:t>
      </w:r>
      <w:proofErr w:type="spellStart"/>
      <w:r w:rsidR="001616D3">
        <w:rPr>
          <w:sz w:val="20"/>
        </w:rPr>
        <w:t>gizi</w:t>
      </w:r>
      <w:proofErr w:type="spellEnd"/>
      <w:r w:rsidR="001616D3">
        <w:rPr>
          <w:sz w:val="20"/>
        </w:rPr>
        <w:t xml:space="preserve">, </w:t>
      </w:r>
      <w:proofErr w:type="spellStart"/>
      <w:r w:rsidR="001616D3">
        <w:rPr>
          <w:sz w:val="20"/>
        </w:rPr>
        <w:t>berat</w:t>
      </w:r>
      <w:proofErr w:type="spellEnd"/>
      <w:r w:rsidR="001616D3">
        <w:rPr>
          <w:sz w:val="20"/>
        </w:rPr>
        <w:t xml:space="preserve"> </w:t>
      </w:r>
      <w:proofErr w:type="spellStart"/>
      <w:r w:rsidR="001616D3">
        <w:rPr>
          <w:sz w:val="20"/>
        </w:rPr>
        <w:t>Badan</w:t>
      </w:r>
      <w:proofErr w:type="spellEnd"/>
      <w:r w:rsidR="001616D3">
        <w:rPr>
          <w:sz w:val="20"/>
        </w:rPr>
        <w:t xml:space="preserve">, </w:t>
      </w:r>
      <w:proofErr w:type="spellStart"/>
      <w:r w:rsidR="001616D3">
        <w:rPr>
          <w:sz w:val="20"/>
        </w:rPr>
        <w:t>b</w:t>
      </w:r>
      <w:r w:rsidR="00D45EEB" w:rsidRPr="00E60EA8">
        <w:rPr>
          <w:sz w:val="20"/>
        </w:rPr>
        <w:t>alita</w:t>
      </w:r>
      <w:proofErr w:type="spellEnd"/>
      <w:r w:rsidR="00DD328C" w:rsidRPr="00F50129">
        <w:rPr>
          <w:sz w:val="20"/>
          <w:szCs w:val="20"/>
        </w:rPr>
        <w:t xml:space="preserve"> </w:t>
      </w:r>
    </w:p>
    <w:p w14:paraId="63B59CB1" w14:textId="77777777" w:rsidR="000D5504" w:rsidRPr="00F50129"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0E6D0221" w:rsidR="000D550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F50129">
        <w:rPr>
          <w:rFonts w:eastAsia="MS Mincho"/>
          <w:b/>
          <w:bCs/>
          <w:i/>
          <w:kern w:val="24"/>
          <w:sz w:val="20"/>
          <w:szCs w:val="20"/>
        </w:rPr>
        <w:t>ABSTRACT</w:t>
      </w:r>
      <w:r w:rsidR="00042D46" w:rsidRPr="00F50129">
        <w:rPr>
          <w:rFonts w:eastAsia="MS Mincho"/>
          <w:b/>
          <w:bCs/>
          <w:i/>
          <w:kern w:val="24"/>
          <w:sz w:val="20"/>
          <w:szCs w:val="20"/>
        </w:rPr>
        <w:t xml:space="preserve"> </w:t>
      </w:r>
    </w:p>
    <w:p w14:paraId="15B0ACBB"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237F67D4" w:rsidR="0010291D" w:rsidRPr="00D45EEB" w:rsidRDefault="000D5504" w:rsidP="009A033F">
      <w:pPr>
        <w:pStyle w:val="NormalWeb"/>
        <w:spacing w:before="0" w:beforeAutospacing="0" w:after="0" w:afterAutospacing="0"/>
        <w:jc w:val="both"/>
        <w:textAlignment w:val="baseline"/>
        <w:rPr>
          <w:rFonts w:eastAsia="MS Mincho"/>
          <w:bCs/>
          <w:i/>
          <w:kern w:val="24"/>
          <w:sz w:val="20"/>
          <w:szCs w:val="20"/>
        </w:rPr>
      </w:pPr>
      <w:r w:rsidRPr="00D45EEB">
        <w:rPr>
          <w:b/>
          <w:i/>
          <w:sz w:val="20"/>
          <w:szCs w:val="20"/>
        </w:rPr>
        <w:t>Background:</w:t>
      </w:r>
      <w:r w:rsidR="0010291D" w:rsidRPr="00D45EEB">
        <w:rPr>
          <w:i/>
          <w:sz w:val="20"/>
          <w:szCs w:val="20"/>
        </w:rPr>
        <w:t xml:space="preserve"> </w:t>
      </w:r>
      <w:r w:rsidR="00D45EEB" w:rsidRPr="00D45EEB">
        <w:rPr>
          <w:i/>
          <w:sz w:val="20"/>
        </w:rPr>
        <w:t xml:space="preserve">Toddlers with BGM (Below the Red Line) are </w:t>
      </w:r>
      <w:r w:rsidR="00A22804">
        <w:rPr>
          <w:i/>
          <w:sz w:val="20"/>
        </w:rPr>
        <w:t>children whose weight for age (W</w:t>
      </w:r>
      <w:r w:rsidR="00A22804">
        <w:rPr>
          <w:i/>
          <w:sz w:val="20"/>
          <w:lang w:val="id-ID"/>
        </w:rPr>
        <w:t>/</w:t>
      </w:r>
      <w:r w:rsidR="00D45EEB" w:rsidRPr="00D45EEB">
        <w:rPr>
          <w:i/>
          <w:sz w:val="20"/>
        </w:rPr>
        <w:t>U) is below the red line on the KMS, thus indicating malnutrition status. BGM toddlers can be used as an early indicator that the toddler is experiencing nutritional problems that need to be addressed immediately.</w:t>
      </w:r>
      <w:r w:rsidRPr="00D45EEB">
        <w:rPr>
          <w:i/>
          <w:sz w:val="20"/>
          <w:szCs w:val="20"/>
        </w:rPr>
        <w:t xml:space="preserve"> </w:t>
      </w:r>
      <w:r w:rsidRPr="00D45EEB">
        <w:rPr>
          <w:rFonts w:eastAsia="MS Mincho"/>
          <w:bCs/>
          <w:i/>
          <w:kern w:val="24"/>
          <w:sz w:val="20"/>
          <w:szCs w:val="20"/>
        </w:rPr>
        <w:t xml:space="preserve"> </w:t>
      </w:r>
    </w:p>
    <w:p w14:paraId="5166B3EA" w14:textId="61974B2B" w:rsidR="0010291D" w:rsidRPr="00D45EEB" w:rsidRDefault="000D5504" w:rsidP="009A033F">
      <w:pPr>
        <w:pStyle w:val="NormalWeb"/>
        <w:spacing w:before="0" w:beforeAutospacing="0" w:after="0" w:afterAutospacing="0"/>
        <w:jc w:val="both"/>
        <w:textAlignment w:val="baseline"/>
        <w:rPr>
          <w:rFonts w:eastAsia="MS Mincho"/>
          <w:b/>
          <w:bCs/>
          <w:i/>
          <w:kern w:val="24"/>
          <w:sz w:val="20"/>
          <w:szCs w:val="20"/>
        </w:rPr>
      </w:pPr>
      <w:r w:rsidRPr="00D45EEB">
        <w:rPr>
          <w:rFonts w:eastAsia="MS Mincho"/>
          <w:b/>
          <w:bCs/>
          <w:i/>
          <w:kern w:val="24"/>
          <w:sz w:val="20"/>
          <w:szCs w:val="20"/>
        </w:rPr>
        <w:t xml:space="preserve">Objectives: </w:t>
      </w:r>
      <w:r w:rsidR="00D45EEB" w:rsidRPr="00D45EEB">
        <w:rPr>
          <w:i/>
          <w:sz w:val="20"/>
        </w:rPr>
        <w:t xml:space="preserve">This study analyzes the problems / symptoms and preventive measures for children under the red line in the </w:t>
      </w:r>
      <w:proofErr w:type="spellStart"/>
      <w:r w:rsidR="00D45EEB" w:rsidRPr="00D45EEB">
        <w:rPr>
          <w:i/>
          <w:sz w:val="20"/>
        </w:rPr>
        <w:t>Wonokusumo</w:t>
      </w:r>
      <w:proofErr w:type="spellEnd"/>
      <w:r w:rsidR="00D45EEB" w:rsidRPr="00D45EEB">
        <w:rPr>
          <w:i/>
          <w:sz w:val="20"/>
        </w:rPr>
        <w:t xml:space="preserve"> Health Center in Surabaya.</w:t>
      </w:r>
      <w:r w:rsidRPr="00D45EEB">
        <w:rPr>
          <w:rFonts w:eastAsia="MS Mincho"/>
          <w:b/>
          <w:bCs/>
          <w:i/>
          <w:kern w:val="24"/>
          <w:sz w:val="20"/>
          <w:szCs w:val="20"/>
        </w:rPr>
        <w:t xml:space="preserve"> </w:t>
      </w:r>
    </w:p>
    <w:p w14:paraId="6C110A92" w14:textId="6390C462" w:rsidR="0010291D" w:rsidRPr="00D45EEB" w:rsidRDefault="000D5504" w:rsidP="009A033F">
      <w:pPr>
        <w:pStyle w:val="NormalWeb"/>
        <w:spacing w:before="0" w:beforeAutospacing="0" w:after="0" w:afterAutospacing="0"/>
        <w:jc w:val="both"/>
        <w:textAlignment w:val="baseline"/>
        <w:rPr>
          <w:rFonts w:eastAsia="MS Mincho"/>
          <w:bCs/>
          <w:i/>
          <w:kern w:val="24"/>
          <w:sz w:val="20"/>
          <w:szCs w:val="20"/>
        </w:rPr>
      </w:pPr>
      <w:r w:rsidRPr="00D45EEB">
        <w:rPr>
          <w:rFonts w:eastAsia="MS Mincho"/>
          <w:b/>
          <w:bCs/>
          <w:i/>
          <w:kern w:val="24"/>
          <w:sz w:val="20"/>
          <w:szCs w:val="20"/>
        </w:rPr>
        <w:t>Methods:</w:t>
      </w:r>
      <w:r w:rsidRPr="00D45EEB">
        <w:rPr>
          <w:rFonts w:eastAsia="MS Mincho"/>
          <w:bCs/>
          <w:i/>
          <w:kern w:val="24"/>
          <w:sz w:val="20"/>
          <w:szCs w:val="20"/>
        </w:rPr>
        <w:t xml:space="preserve"> </w:t>
      </w:r>
      <w:r w:rsidR="00D45EEB" w:rsidRPr="00D45EEB">
        <w:rPr>
          <w:i/>
          <w:sz w:val="20"/>
        </w:rPr>
        <w:t xml:space="preserve">This research is an analytic observational study, with a cross sectional design. Subjects were taken by simple random sampling. The population of this research is mothers who have toddlers aged 12-24 months who live in the working area of ​​the </w:t>
      </w:r>
      <w:proofErr w:type="spellStart"/>
      <w:r w:rsidR="00D45EEB" w:rsidRPr="00D45EEB">
        <w:rPr>
          <w:i/>
          <w:sz w:val="20"/>
        </w:rPr>
        <w:t>Wonokusumo</w:t>
      </w:r>
      <w:proofErr w:type="spellEnd"/>
      <w:r w:rsidR="00D45EEB" w:rsidRPr="00D45EEB">
        <w:rPr>
          <w:i/>
          <w:sz w:val="20"/>
        </w:rPr>
        <w:t xml:space="preserve"> Health Center in Surabaya. The independent variables used are perceived vulnerability, perceived severity, perceived benefits, perceived obstacles, and cues to take action, while the dependent variable used was maternal BGM prevention behavior.</w:t>
      </w:r>
    </w:p>
    <w:p w14:paraId="065B252D" w14:textId="5F6C2C51" w:rsidR="0077714F" w:rsidRPr="00D45EEB" w:rsidRDefault="000D5504" w:rsidP="009A033F">
      <w:pPr>
        <w:pStyle w:val="NormalWeb"/>
        <w:spacing w:before="0" w:beforeAutospacing="0" w:after="0" w:afterAutospacing="0"/>
        <w:jc w:val="both"/>
        <w:textAlignment w:val="baseline"/>
        <w:rPr>
          <w:rFonts w:eastAsia="MS Mincho"/>
          <w:bCs/>
          <w:i/>
          <w:kern w:val="24"/>
          <w:sz w:val="20"/>
          <w:szCs w:val="20"/>
        </w:rPr>
      </w:pPr>
      <w:r w:rsidRPr="00D45EEB">
        <w:rPr>
          <w:rStyle w:val="highlight"/>
          <w:b/>
          <w:i/>
          <w:sz w:val="20"/>
          <w:szCs w:val="20"/>
          <w:shd w:val="clear" w:color="auto" w:fill="FFFFFF"/>
        </w:rPr>
        <w:t xml:space="preserve">Results: </w:t>
      </w:r>
      <w:r w:rsidR="00D45EEB" w:rsidRPr="00D45EEB">
        <w:rPr>
          <w:i/>
          <w:sz w:val="20"/>
        </w:rPr>
        <w:t>This study resulted in several conclusions, namely that there is a relationship between the perceived vulnerability of respondents to taking preventive measures for BGM under five; there is a relationship between the severity felt by the respondents on the prevention measures for BGM under five; there is no relationship between the benefits felt by the respondents on the prevention measures for children under five BGM; there is no relationship between the obstacles felt by respondents to the prevention measures for BGM under five; and there was no relationship between cues to act on precautions for BGM under five.</w:t>
      </w:r>
    </w:p>
    <w:p w14:paraId="71ADDFC0" w14:textId="0D27DDA8" w:rsidR="000D5504" w:rsidRPr="00D45EEB" w:rsidRDefault="0010291D" w:rsidP="009A033F">
      <w:pPr>
        <w:pStyle w:val="NormalWeb"/>
        <w:spacing w:before="0" w:beforeAutospacing="0" w:after="0" w:afterAutospacing="0"/>
        <w:jc w:val="both"/>
        <w:textAlignment w:val="baseline"/>
        <w:rPr>
          <w:rFonts w:eastAsia="MS Mincho"/>
          <w:bCs/>
          <w:i/>
          <w:kern w:val="24"/>
          <w:sz w:val="20"/>
          <w:szCs w:val="20"/>
        </w:rPr>
      </w:pPr>
      <w:r w:rsidRPr="00D45EEB">
        <w:rPr>
          <w:rFonts w:eastAsia="MS Mincho"/>
          <w:b/>
          <w:bCs/>
          <w:i/>
          <w:kern w:val="24"/>
          <w:sz w:val="20"/>
          <w:szCs w:val="20"/>
        </w:rPr>
        <w:lastRenderedPageBreak/>
        <w:t>Conclusions:</w:t>
      </w:r>
      <w:r w:rsidR="000D5504" w:rsidRPr="00D45EEB">
        <w:rPr>
          <w:i/>
          <w:sz w:val="20"/>
          <w:szCs w:val="20"/>
        </w:rPr>
        <w:t xml:space="preserve"> </w:t>
      </w:r>
      <w:r w:rsidR="00D45EEB" w:rsidRPr="00D45EEB">
        <w:rPr>
          <w:i/>
          <w:sz w:val="20"/>
        </w:rPr>
        <w:t xml:space="preserve">This study views the importance of monitoring the growth of children under five at the </w:t>
      </w:r>
      <w:proofErr w:type="spellStart"/>
      <w:r w:rsidR="00D45EEB" w:rsidRPr="00D45EEB">
        <w:rPr>
          <w:i/>
          <w:sz w:val="20"/>
        </w:rPr>
        <w:t>posyandu</w:t>
      </w:r>
      <w:proofErr w:type="spellEnd"/>
      <w:r w:rsidR="00D45EEB" w:rsidRPr="00D45EEB">
        <w:rPr>
          <w:i/>
          <w:sz w:val="20"/>
        </w:rPr>
        <w:t xml:space="preserve"> and providing PMT to prevent BGM from under five.</w:t>
      </w:r>
    </w:p>
    <w:p w14:paraId="366DAFA1" w14:textId="77777777" w:rsidR="00DD19D4" w:rsidRPr="00F50129"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0A797A65" w:rsidR="000D5504" w:rsidRPr="00F50129" w:rsidRDefault="000D5504" w:rsidP="00DD19D4">
      <w:pPr>
        <w:pStyle w:val="NormalWeb"/>
        <w:spacing w:before="0" w:beforeAutospacing="0" w:after="0" w:afterAutospacing="0"/>
        <w:jc w:val="both"/>
        <w:textAlignment w:val="baseline"/>
        <w:rPr>
          <w:i/>
          <w:sz w:val="20"/>
          <w:szCs w:val="20"/>
        </w:rPr>
      </w:pPr>
      <w:r w:rsidRPr="00F50129">
        <w:rPr>
          <w:b/>
          <w:i/>
          <w:sz w:val="20"/>
          <w:szCs w:val="20"/>
        </w:rPr>
        <w:t>Keywords:</w:t>
      </w:r>
      <w:r w:rsidRPr="00F50129">
        <w:rPr>
          <w:i/>
          <w:sz w:val="20"/>
          <w:szCs w:val="20"/>
        </w:rPr>
        <w:t xml:space="preserve"> </w:t>
      </w:r>
      <w:r w:rsidR="00D45EEB" w:rsidRPr="00D45EEB">
        <w:rPr>
          <w:i/>
          <w:sz w:val="20"/>
          <w:szCs w:val="20"/>
        </w:rPr>
        <w:t>BGM, KMS, nutrition, body weight, toddlers</w:t>
      </w:r>
      <w:r w:rsidRPr="00F50129">
        <w:rPr>
          <w:i/>
          <w:sz w:val="20"/>
          <w:szCs w:val="20"/>
        </w:rPr>
        <w:t xml:space="preserve"> </w:t>
      </w:r>
    </w:p>
    <w:p w14:paraId="387A8947" w14:textId="77777777" w:rsidR="00DD328C" w:rsidRPr="00F50129" w:rsidRDefault="00DD328C" w:rsidP="00DD19D4">
      <w:pPr>
        <w:pStyle w:val="NormalWeb"/>
        <w:spacing w:before="0" w:beforeAutospacing="0" w:after="0" w:afterAutospacing="0"/>
        <w:jc w:val="both"/>
        <w:textAlignment w:val="baseline"/>
        <w:rPr>
          <w:i/>
          <w:sz w:val="20"/>
          <w:szCs w:val="20"/>
        </w:rPr>
      </w:pPr>
    </w:p>
    <w:p w14:paraId="4226B506" w14:textId="77777777" w:rsidR="000D5504" w:rsidRPr="00F50129" w:rsidRDefault="000D5504" w:rsidP="00DD19D4">
      <w:pPr>
        <w:pStyle w:val="NormalWeb"/>
        <w:spacing w:before="0" w:beforeAutospacing="0" w:after="0" w:afterAutospacing="0"/>
        <w:jc w:val="both"/>
        <w:textAlignment w:val="baseline"/>
        <w:rPr>
          <w:i/>
          <w:sz w:val="20"/>
          <w:szCs w:val="20"/>
        </w:rPr>
      </w:pPr>
    </w:p>
    <w:p w14:paraId="2A0EC3A1" w14:textId="77777777" w:rsidR="00D46BD2" w:rsidRPr="00F50129" w:rsidRDefault="00D46BD2" w:rsidP="00D46BD2">
      <w:pPr>
        <w:jc w:val="both"/>
        <w:outlineLvl w:val="0"/>
        <w:rPr>
          <w:b/>
          <w:sz w:val="20"/>
          <w:szCs w:val="20"/>
        </w:rPr>
      </w:pPr>
      <w:r w:rsidRPr="00F50129">
        <w:rPr>
          <w:b/>
          <w:sz w:val="20"/>
          <w:szCs w:val="20"/>
        </w:rPr>
        <w:t>INTRODUCTION</w:t>
      </w:r>
    </w:p>
    <w:p w14:paraId="0AFB72B0" w14:textId="77777777" w:rsidR="00DD19D4" w:rsidRPr="00F50129" w:rsidRDefault="00DD19D4" w:rsidP="00DD19D4">
      <w:pPr>
        <w:jc w:val="both"/>
        <w:outlineLvl w:val="0"/>
        <w:rPr>
          <w:b/>
          <w:sz w:val="20"/>
          <w:szCs w:val="20"/>
        </w:rPr>
      </w:pPr>
    </w:p>
    <w:p w14:paraId="0D747FD4" w14:textId="04CF2A0F" w:rsidR="00D45EEB" w:rsidRPr="00D45EEB" w:rsidRDefault="00D45EEB" w:rsidP="00ED5751">
      <w:pPr>
        <w:ind w:firstLine="567"/>
        <w:jc w:val="both"/>
        <w:rPr>
          <w:sz w:val="20"/>
          <w:szCs w:val="20"/>
        </w:rPr>
      </w:pPr>
      <w:r w:rsidRPr="00D45EEB">
        <w:rPr>
          <w:sz w:val="20"/>
          <w:szCs w:val="20"/>
        </w:rPr>
        <w:t>The number of health targets for children under five years old in 2018 in Indonesia is very large at around 19,270,715 or 7.5% of the total population of the Indonesian population</w:t>
      </w:r>
      <w:r w:rsidR="009200D1">
        <w:rPr>
          <w:sz w:val="20"/>
          <w:szCs w:val="20"/>
        </w:rPr>
        <w:t xml:space="preserve"> </w:t>
      </w:r>
      <w:r w:rsidR="009200D1">
        <w:rPr>
          <w:sz w:val="20"/>
          <w:szCs w:val="20"/>
        </w:rPr>
        <w:fldChar w:fldCharType="begin" w:fldLock="1"/>
      </w:r>
      <w:r w:rsidR="009200D1">
        <w:rPr>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Kesehatan RI","given":"","non-dropping-particle":"","parse-names":false,"suffix":""}],"container-title":"Laporan Nasional Riskesdas 2018","id":"ITEM-1","issue":"9","issued":{"date-parts":[["2018"]]},"page":"154-165","title":"Laporan Riskesdas 2018","type":"article-journal","volume":"53"},"uris":["http://www.mendeley.com/documents/?uuid=afe5b40b-b2b6-4138-9a15-90ceaf744e08"]}],"mendeley":{"formattedCitation":"(Kementerian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9200D1">
        <w:rPr>
          <w:sz w:val="20"/>
          <w:szCs w:val="20"/>
        </w:rPr>
        <w:fldChar w:fldCharType="separate"/>
      </w:r>
      <w:r w:rsidR="009200D1" w:rsidRPr="009200D1">
        <w:rPr>
          <w:noProof/>
          <w:sz w:val="20"/>
          <w:szCs w:val="20"/>
        </w:rPr>
        <w:t>(Kementerian Kesehatan RI, 2018)</w:t>
      </w:r>
      <w:r w:rsidR="009200D1">
        <w:rPr>
          <w:sz w:val="20"/>
          <w:szCs w:val="20"/>
        </w:rPr>
        <w:fldChar w:fldCharType="end"/>
      </w:r>
      <w:r w:rsidRPr="00D45EEB">
        <w:rPr>
          <w:sz w:val="20"/>
          <w:szCs w:val="20"/>
        </w:rPr>
        <w:t>. So the quality of growth and development of toddlers in Indonesia needs serious attention, namely getting good nutrition, adequate stimulation and affordable quality health services including early detection and intervention of growth and development deviations. The toddler period is a critical period and cannot be repeated, the golden period for the survival of the child's growth and development, if there is a deviation of growth and development that is late detected, then the handling is too late so it is difficult to repair</w:t>
      </w:r>
      <w:r w:rsidR="009200D1">
        <w:rPr>
          <w:sz w:val="20"/>
          <w:szCs w:val="20"/>
        </w:rPr>
        <w:t xml:space="preserve"> </w:t>
      </w:r>
      <w:r w:rsidR="009200D1">
        <w:rPr>
          <w:sz w:val="20"/>
          <w:szCs w:val="20"/>
        </w:rPr>
        <w:fldChar w:fldCharType="begin" w:fldLock="1"/>
      </w:r>
      <w:r w:rsidR="009200D1">
        <w:rPr>
          <w:sz w:val="20"/>
          <w:szCs w:val="20"/>
        </w:rPr>
        <w:instrText>ADDIN CSL_CITATION {"citationItems":[{"id":"ITEM-1","itemData":{"abstract":"Masalah tumbuh kembang balita di Bawah Garis Merah (BGM) masih menjadi masalah kesehatan di Indonesia. Hal ini perlu segera diatasi sebab balita tersebut merupakan sumber daya manusia yang akan menjadi aset utama dalam membangun bangsa. Penelitian ini bertujuan untuk menganalisis hubungan antara karakteristik ibu dengan status gizi balita BGM. Penelitian ini merupakan penelitian kuantitatif observasional analitik dengan pendekatan cross sectional. Populasi penelitian adalah ibu dan balita di Kecamatan Sawah Besar sedangkan sampel yang digunakan adalah balita BGM berjumlah 46 anak dengan teknik purposive sampling. Data diambil dengan menggunakan data primer dan sekunder. Data primer meliputi usia ibu, pendidikan ibu, pekerjaan ibu dan paritas yang diukur dengan wawancara berdasarkan kuesioner. Data sekunder diperoleh dari Kartu Menuju Sehat (KMS), kohort dan buku Kesehatan Ibu dan Anak (KIA) sebagai alat bantu pemantauan balita BGM. Uji statistik yang digunakan adalah uji korelasi Spearman dengan derajat kepercayaan 5% (0.05). Hasil penelitian menunjukkan adanya hubungan antara usia ibu (p value =0.016), pendidikan (p value =0.001) dan paritas (p value =0.048) terhadap status gizi balita BGM berdasarkan berat badan menurut usia (BB/U), tinggi badan menurut usia (TB/U) dan berat badan menurut tinggi badan(BB/TB).","author":[{"dropping-particle":"","family":"Larasati","given":"Manggiasih Dwiayu","non-dropping-particle":"","parse-names":false,"suffix":""}],"container-title":"Jurnal JKFT: Universitas Muhamadiyah Tangerang","id":"ITEM-1","issue":"1","issued":{"date-parts":[["2019"]]},"page":"77-89","title":"Status Gizi Balita BGM Berdasarkan Karakteristik Ibu Di Wilayah Kerja Kecamatan Sawah Besar Tahun 2018","type":"article-journal","volume":"4"},"uris":["http://www.mendeley.com/documents/?uuid=06973ea5-9b6e-4cc1-b2b8-7a74c4d6fc44"]}],"mendeley":{"formattedCitation":"(Larasati, 2019)","plainTextFormattedCitation":"(Larasati, 2019)","previouslyFormattedCitation":"(Larasati, 2019)"},"properties":{"noteIndex":0},"schema":"https://github.com/citation-style-language/schema/raw/master/csl-citation.json"}</w:instrText>
      </w:r>
      <w:r w:rsidR="009200D1">
        <w:rPr>
          <w:sz w:val="20"/>
          <w:szCs w:val="20"/>
        </w:rPr>
        <w:fldChar w:fldCharType="separate"/>
      </w:r>
      <w:r w:rsidR="009200D1" w:rsidRPr="009200D1">
        <w:rPr>
          <w:noProof/>
          <w:sz w:val="20"/>
          <w:szCs w:val="20"/>
        </w:rPr>
        <w:t>(Larasati, 2019)</w:t>
      </w:r>
      <w:r w:rsidR="009200D1">
        <w:rPr>
          <w:sz w:val="20"/>
          <w:szCs w:val="20"/>
        </w:rPr>
        <w:fldChar w:fldCharType="end"/>
      </w:r>
      <w:r w:rsidR="009200D1">
        <w:rPr>
          <w:sz w:val="20"/>
          <w:szCs w:val="20"/>
        </w:rPr>
        <w:t>.</w:t>
      </w:r>
    </w:p>
    <w:p w14:paraId="4958A070" w14:textId="263CD223" w:rsidR="00D45EEB" w:rsidRPr="00D45EEB" w:rsidRDefault="00D45EEB" w:rsidP="00ED5751">
      <w:pPr>
        <w:ind w:firstLine="567"/>
        <w:jc w:val="both"/>
        <w:rPr>
          <w:sz w:val="20"/>
          <w:szCs w:val="20"/>
        </w:rPr>
      </w:pPr>
      <w:r w:rsidRPr="00D45EEB">
        <w:rPr>
          <w:sz w:val="20"/>
          <w:szCs w:val="20"/>
        </w:rPr>
        <w:t xml:space="preserve">Under the Red Line (BGM) is the condition of children under five who experience growth problems due to malnutrition so that when weighing the under-five children under the red line on the KMS or malnutrition status (BW / U &lt;-3 SD) or clinical signs Meanwhile, according to the Ministry of Health of the Republic of Indonesia (2005), children under five BGM are children under five who are weighed below the red line on the Health Card (KMS) </w:t>
      </w:r>
      <w:r w:rsidR="009200D1">
        <w:rPr>
          <w:sz w:val="20"/>
          <w:szCs w:val="20"/>
        </w:rPr>
        <w:fldChar w:fldCharType="begin" w:fldLock="1"/>
      </w:r>
      <w:r w:rsidR="009200D1">
        <w:rPr>
          <w:sz w:val="20"/>
          <w:szCs w:val="20"/>
        </w:rPr>
        <w:instrText>ADDIN CSL_CITATION {"citationItems":[{"id":"ITEM-1","itemData":{"DOI":"10.1108/ijhcqa.2010.06223gab.001","ISSN":"09526862","author":[{"dropping-particle":"","family":"Kemenkes RI","given":"","non-dropping-particle":"","parse-names":false,"suffix":""}],"id":"ITEM-1","issue":"7","issued":{"date-parts":[["2010"]]},"page":"22-23","title":"Penggunaan Kartu Menuju Sehat (KMS) Bagi Balita","type":"article-journal","volume":"23"},"uris":["http://www.mendeley.com/documents/?uuid=43241356-fe89-4011-a8ea-72e2c7a4a1ec"]}],"mendeley":{"formattedCitation":"(Kemenkes RI, 2010)","plainTextFormattedCitation":"(Kemenkes RI, 2010)","previouslyFormattedCitation":"(Kemenkes RI, 2010)"},"properties":{"noteIndex":0},"schema":"https://github.com/citation-style-language/schema/raw/master/csl-citation.json"}</w:instrText>
      </w:r>
      <w:r w:rsidR="009200D1">
        <w:rPr>
          <w:sz w:val="20"/>
          <w:szCs w:val="20"/>
        </w:rPr>
        <w:fldChar w:fldCharType="separate"/>
      </w:r>
      <w:r w:rsidR="009200D1" w:rsidRPr="009200D1">
        <w:rPr>
          <w:noProof/>
          <w:sz w:val="20"/>
          <w:szCs w:val="20"/>
        </w:rPr>
        <w:t>(Kemenkes RI, 2010)</w:t>
      </w:r>
      <w:r w:rsidR="009200D1">
        <w:rPr>
          <w:sz w:val="20"/>
          <w:szCs w:val="20"/>
        </w:rPr>
        <w:fldChar w:fldCharType="end"/>
      </w:r>
      <w:r w:rsidRPr="00D45EEB">
        <w:rPr>
          <w:sz w:val="20"/>
          <w:szCs w:val="20"/>
        </w:rPr>
        <w:t xml:space="preserve">. KMS is a card that contains the growth curve of children </w:t>
      </w:r>
      <w:proofErr w:type="gramStart"/>
      <w:r w:rsidRPr="00D45EEB">
        <w:rPr>
          <w:sz w:val="20"/>
          <w:szCs w:val="20"/>
        </w:rPr>
        <w:t>under</w:t>
      </w:r>
      <w:proofErr w:type="gramEnd"/>
      <w:r w:rsidRPr="00D45EEB">
        <w:rPr>
          <w:sz w:val="20"/>
          <w:szCs w:val="20"/>
        </w:rPr>
        <w:t xml:space="preserve"> five based on the anthropometric index of Body Weight for Age (BW / U) which serves as a tool to monitor the health and growth of children under five. Notes on KMS can show the nutritional status of children under five. </w:t>
      </w:r>
    </w:p>
    <w:p w14:paraId="680FB9E8" w14:textId="12D76359" w:rsidR="00D45EEB" w:rsidRPr="00D45EEB" w:rsidRDefault="00D45EEB" w:rsidP="00ED5751">
      <w:pPr>
        <w:ind w:firstLine="567"/>
        <w:jc w:val="both"/>
        <w:rPr>
          <w:sz w:val="20"/>
          <w:szCs w:val="20"/>
        </w:rPr>
      </w:pPr>
      <w:r w:rsidRPr="00D45EEB">
        <w:rPr>
          <w:sz w:val="20"/>
          <w:szCs w:val="20"/>
        </w:rPr>
        <w:t>Toddlers with adequate nutrition have body weight in the green area, while yellow indicates malnutrition status, and if it is below the red line (BGM) indicates malnutrition status. Toddlers who experience malnutrition and do not gain weight twice should receive treatment in health services</w:t>
      </w:r>
      <w:bookmarkStart w:id="0" w:name="_Hlk56948656"/>
      <w:bookmarkEnd w:id="0"/>
      <w:r w:rsidR="009200D1">
        <w:rPr>
          <w:sz w:val="20"/>
          <w:szCs w:val="20"/>
        </w:rPr>
        <w:t xml:space="preserve"> </w:t>
      </w:r>
      <w:r w:rsidR="009200D1">
        <w:rPr>
          <w:sz w:val="20"/>
          <w:szCs w:val="20"/>
        </w:rPr>
        <w:fldChar w:fldCharType="begin" w:fldLock="1"/>
      </w:r>
      <w:r w:rsidR="009200D1">
        <w:rPr>
          <w:sz w:val="20"/>
          <w:szCs w:val="20"/>
        </w:rPr>
        <w:instrText>ADDIN CSL_CITATION {"citationItems":[{"id":"ITEM-1","itemData":{"DOI":"10.1108/ijhcqa.2010.06223gab.001","ISSN":"09526862","author":[{"dropping-particle":"","family":"Kemenkes RI","given":"","non-dropping-particle":"","parse-names":false,"suffix":""}],"id":"ITEM-1","issue":"7","issued":{"date-parts":[["2010"]]},"page":"22-23","title":"Penggunaan Kartu Menuju Sehat (KMS) Bagi Balita","type":"article-journal","volume":"23"},"uris":["http://www.mendeley.com/documents/?uuid=43241356-fe89-4011-a8ea-72e2c7a4a1ec"]}],"mendeley":{"formattedCitation":"(Kemenkes RI, 2010)","plainTextFormattedCitation":"(Kemenkes RI, 2010)","previouslyFormattedCitation":"(Kemenkes RI, 2010)"},"properties":{"noteIndex":0},"schema":"https://github.com/citation-style-language/schema/raw/master/csl-citation.json"}</w:instrText>
      </w:r>
      <w:r w:rsidR="009200D1">
        <w:rPr>
          <w:sz w:val="20"/>
          <w:szCs w:val="20"/>
        </w:rPr>
        <w:fldChar w:fldCharType="separate"/>
      </w:r>
      <w:r w:rsidR="009200D1" w:rsidRPr="009200D1">
        <w:rPr>
          <w:noProof/>
          <w:sz w:val="20"/>
          <w:szCs w:val="20"/>
        </w:rPr>
        <w:t>(Kemenkes RI, 2010)</w:t>
      </w:r>
      <w:r w:rsidR="009200D1">
        <w:rPr>
          <w:sz w:val="20"/>
          <w:szCs w:val="20"/>
        </w:rPr>
        <w:fldChar w:fldCharType="end"/>
      </w:r>
    </w:p>
    <w:p w14:paraId="3E5BF596" w14:textId="5042860F" w:rsidR="00D45EEB" w:rsidRPr="00D45EEB" w:rsidRDefault="00D45EEB" w:rsidP="00ED5751">
      <w:pPr>
        <w:ind w:firstLine="567"/>
        <w:jc w:val="both"/>
        <w:rPr>
          <w:sz w:val="20"/>
          <w:szCs w:val="20"/>
        </w:rPr>
      </w:pPr>
      <w:r w:rsidRPr="00D45EEB">
        <w:rPr>
          <w:sz w:val="20"/>
          <w:szCs w:val="20"/>
        </w:rPr>
        <w:t>In 2015 the percentage of children under five BGM was 0.7%</w:t>
      </w:r>
      <w:r w:rsidR="004D3F5B">
        <w:rPr>
          <w:sz w:val="20"/>
          <w:szCs w:val="20"/>
        </w:rPr>
        <w:t xml:space="preserve"> </w:t>
      </w:r>
      <w:r w:rsidR="004D3F5B">
        <w:rPr>
          <w:sz w:val="20"/>
          <w:szCs w:val="20"/>
        </w:rPr>
        <w:fldChar w:fldCharType="begin" w:fldLock="1"/>
      </w:r>
      <w:r w:rsidR="004D3F5B">
        <w:rPr>
          <w:sz w:val="20"/>
          <w:szCs w:val="20"/>
        </w:rPr>
        <w:instrText>ADDIN CSL_CITATION {"citationItems":[{"id":"ITEM-1","itemData":{"author":[{"dropping-particle":"","family":"Dinkes Kota Surabaya","given":"","non-dropping-particle":"","parse-names":false,"suffix":""}],"id":"ITEM-1","issued":{"date-parts":[["2015"]]},"publisher":"Profil Kesehatan Kota Surabaya","publisher-place":"Surabaya","title":"Profil Kesehatan Kota Surabaya","type":"book"},"uris":["http://www.mendeley.com/documents/?uuid=4a5342d2-31a0-461e-b522-77abc0643453"]}],"mendeley":{"formattedCitation":"(Dinkes Kota Surabaya, 2015)","plainTextFormattedCitation":"(Dinkes Kota Surabaya, 2015)","previouslyFormattedCitation":"(Dinkes Kota Surabaya, 2015)"},"properties":{"noteIndex":0},"schema":"https://github.com/citation-style-language/schema/raw/master/csl-citation.json"}</w:instrText>
      </w:r>
      <w:r w:rsidR="004D3F5B">
        <w:rPr>
          <w:sz w:val="20"/>
          <w:szCs w:val="20"/>
        </w:rPr>
        <w:fldChar w:fldCharType="separate"/>
      </w:r>
      <w:r w:rsidR="004D3F5B" w:rsidRPr="004D3F5B">
        <w:rPr>
          <w:noProof/>
          <w:sz w:val="20"/>
          <w:szCs w:val="20"/>
        </w:rPr>
        <w:t>(Dinkes Kota Surabaya, 2015)</w:t>
      </w:r>
      <w:r w:rsidR="004D3F5B">
        <w:rPr>
          <w:sz w:val="20"/>
          <w:szCs w:val="20"/>
        </w:rPr>
        <w:fldChar w:fldCharType="end"/>
      </w:r>
      <w:r w:rsidRPr="00D45EEB">
        <w:rPr>
          <w:sz w:val="20"/>
          <w:szCs w:val="20"/>
        </w:rPr>
        <w:t xml:space="preserve">. In 2016, the prevalence of BGM under five in Surabaya City was 0.76% </w:t>
      </w:r>
      <w:r w:rsidR="004D3F5B">
        <w:rPr>
          <w:sz w:val="20"/>
          <w:szCs w:val="20"/>
        </w:rPr>
        <w:fldChar w:fldCharType="begin" w:fldLock="1"/>
      </w:r>
      <w:r w:rsidR="004D3F5B">
        <w:rPr>
          <w:sz w:val="20"/>
          <w:szCs w:val="20"/>
        </w:rPr>
        <w:instrText>ADDIN CSL_CITATION {"citationItems":[{"id":"ITEM-1","itemData":{"author":[{"dropping-particle":"","family":"Dinkes Kota Surabaya","given":"","non-dropping-particle":"","parse-names":false,"suffix":""}],"id":"ITEM-1","issued":{"date-parts":[["2016"]]},"page":"194","title":"Profil kesehatan Dinkes Kota Surabaya","type":"article-journal"},"uris":["http://www.mendeley.com/documents/?uuid=1987ede8-0a33-44b9-85d5-a75d89a1f7de"]}],"mendeley":{"formattedCitation":"(Dinkes Kota Surabaya, 2016a)","manualFormatting":"(Dinkes Kota Surabaya, 2016)","plainTextFormattedCitation":"(Dinkes Kota Surabaya, 2016a)","previouslyFormattedCitation":"(Dinkes Kota Surabaya, 2016a)"},"properties":{"noteIndex":0},"schema":"https://github.com/citation-style-language/schema/raw/master/csl-citation.json"}</w:instrText>
      </w:r>
      <w:r w:rsidR="004D3F5B">
        <w:rPr>
          <w:sz w:val="20"/>
          <w:szCs w:val="20"/>
        </w:rPr>
        <w:fldChar w:fldCharType="separate"/>
      </w:r>
      <w:r w:rsidR="004D3F5B">
        <w:rPr>
          <w:noProof/>
          <w:sz w:val="20"/>
          <w:szCs w:val="20"/>
        </w:rPr>
        <w:t>(Dinkes Kota Surabaya, 2016</w:t>
      </w:r>
      <w:r w:rsidR="004D3F5B" w:rsidRPr="004D3F5B">
        <w:rPr>
          <w:noProof/>
          <w:sz w:val="20"/>
          <w:szCs w:val="20"/>
        </w:rPr>
        <w:t>)</w:t>
      </w:r>
      <w:r w:rsidR="004D3F5B">
        <w:rPr>
          <w:sz w:val="20"/>
          <w:szCs w:val="20"/>
        </w:rPr>
        <w:fldChar w:fldCharType="end"/>
      </w:r>
      <w:r w:rsidRPr="00D45EEB">
        <w:rPr>
          <w:sz w:val="20"/>
          <w:szCs w:val="20"/>
        </w:rPr>
        <w:t xml:space="preserve">. In 2017, the prevalence of BGM under five in </w:t>
      </w:r>
      <w:r w:rsidR="004D3F5B">
        <w:rPr>
          <w:sz w:val="20"/>
          <w:szCs w:val="20"/>
        </w:rPr>
        <w:t xml:space="preserve">the city of Surabaya was 0.64% </w:t>
      </w:r>
      <w:r w:rsidR="004D3F5B">
        <w:rPr>
          <w:sz w:val="20"/>
          <w:szCs w:val="20"/>
        </w:rPr>
        <w:fldChar w:fldCharType="begin" w:fldLock="1"/>
      </w:r>
      <w:r w:rsidR="004D3F5B">
        <w:rPr>
          <w:sz w:val="20"/>
          <w:szCs w:val="20"/>
        </w:rPr>
        <w:instrText>ADDIN CSL_CITATION {"citationItems":[{"id":"ITEM-1","itemData":{"author":[{"dropping-particle":"","family":"Dinkes Kota Surabaya","given":"","non-dropping-particle":"","parse-names":false,"suffix":""}],"id":"ITEM-1","issued":{"date-parts":[["2017"]]},"title":"Profil Kesehatan Kota Surabaya","type":"book"},"uris":["http://www.mendeley.com/documents/?uuid=4bb22081-d848-4a4d-b1f3-01d6fa0d7713"]}],"mendeley":{"formattedCitation":"(Dinkes Kota Surabaya, 2017)","plainTextFormattedCitation":"(Dinkes Kota Surabaya, 2017)","previouslyFormattedCitation":"(Dinkes Kota Surabaya, 2017)"},"properties":{"noteIndex":0},"schema":"https://github.com/citation-style-language/schema/raw/master/csl-citation.json"}</w:instrText>
      </w:r>
      <w:r w:rsidR="004D3F5B">
        <w:rPr>
          <w:sz w:val="20"/>
          <w:szCs w:val="20"/>
        </w:rPr>
        <w:fldChar w:fldCharType="separate"/>
      </w:r>
      <w:r w:rsidR="004D3F5B" w:rsidRPr="004D3F5B">
        <w:rPr>
          <w:noProof/>
          <w:sz w:val="20"/>
          <w:szCs w:val="20"/>
        </w:rPr>
        <w:t>(Dinkes Kota Surabaya, 2017)</w:t>
      </w:r>
      <w:r w:rsidR="004D3F5B">
        <w:rPr>
          <w:sz w:val="20"/>
          <w:szCs w:val="20"/>
        </w:rPr>
        <w:fldChar w:fldCharType="end"/>
      </w:r>
      <w:r w:rsidR="004D3F5B">
        <w:rPr>
          <w:sz w:val="20"/>
          <w:szCs w:val="20"/>
        </w:rPr>
        <w:t xml:space="preserve">. </w:t>
      </w:r>
      <w:r w:rsidRPr="00D45EEB">
        <w:rPr>
          <w:sz w:val="20"/>
          <w:szCs w:val="20"/>
        </w:rPr>
        <w:t xml:space="preserve">Based on data from the Surabaya City Health Office, the status of BGM for toddlers at </w:t>
      </w:r>
      <w:proofErr w:type="spellStart"/>
      <w:r w:rsidRPr="00D45EEB">
        <w:rPr>
          <w:sz w:val="20"/>
          <w:szCs w:val="20"/>
        </w:rPr>
        <w:t>Posyandu</w:t>
      </w:r>
      <w:proofErr w:type="spellEnd"/>
      <w:r w:rsidRPr="00D45EEB">
        <w:rPr>
          <w:sz w:val="20"/>
          <w:szCs w:val="20"/>
        </w:rPr>
        <w:t xml:space="preserve"> throughout Surabaya City in 2017 found that the prevalence of BGM was 0.66% with a total of 1,193 children under five from a total of 179,662 children under five. </w:t>
      </w:r>
    </w:p>
    <w:p w14:paraId="68E96271" w14:textId="4A372668" w:rsidR="00D45EEB" w:rsidRPr="00D45EEB" w:rsidRDefault="00D45EEB" w:rsidP="00ED5751">
      <w:pPr>
        <w:ind w:firstLine="567"/>
        <w:jc w:val="both"/>
        <w:rPr>
          <w:sz w:val="20"/>
          <w:szCs w:val="20"/>
        </w:rPr>
      </w:pPr>
      <w:r w:rsidRPr="00D45EEB">
        <w:rPr>
          <w:sz w:val="20"/>
          <w:szCs w:val="20"/>
        </w:rPr>
        <w:t xml:space="preserve">The number of children under the Red Line (BGM) in the </w:t>
      </w:r>
      <w:proofErr w:type="spellStart"/>
      <w:r w:rsidRPr="00D45EEB">
        <w:rPr>
          <w:sz w:val="20"/>
          <w:szCs w:val="20"/>
        </w:rPr>
        <w:t>Wonokusumo</w:t>
      </w:r>
      <w:proofErr w:type="spellEnd"/>
      <w:r w:rsidRPr="00D45EEB">
        <w:rPr>
          <w:sz w:val="20"/>
          <w:szCs w:val="20"/>
        </w:rPr>
        <w:t xml:space="preserve"> Community Health Center in 2017 was 2.07%. The high number of children under five under the red line in Surabaya, especially in the </w:t>
      </w:r>
      <w:proofErr w:type="spellStart"/>
      <w:r w:rsidRPr="00D45EEB">
        <w:rPr>
          <w:sz w:val="20"/>
          <w:szCs w:val="20"/>
        </w:rPr>
        <w:t>Wonokusmo</w:t>
      </w:r>
      <w:proofErr w:type="spellEnd"/>
      <w:r w:rsidRPr="00D45EEB">
        <w:rPr>
          <w:sz w:val="20"/>
          <w:szCs w:val="20"/>
        </w:rPr>
        <w:t xml:space="preserve"> Community Health Center, has exceeded the prevalen</w:t>
      </w:r>
      <w:r w:rsidR="009200D1">
        <w:rPr>
          <w:sz w:val="20"/>
          <w:szCs w:val="20"/>
        </w:rPr>
        <w:t>ce target for malnutrition &lt;1%</w:t>
      </w:r>
      <w:r w:rsidR="00264AD7">
        <w:rPr>
          <w:sz w:val="20"/>
          <w:szCs w:val="20"/>
        </w:rPr>
        <w:t xml:space="preserve"> </w:t>
      </w:r>
      <w:r w:rsidR="006854C2">
        <w:rPr>
          <w:sz w:val="20"/>
          <w:szCs w:val="20"/>
        </w:rPr>
        <w:fldChar w:fldCharType="begin" w:fldLock="1"/>
      </w:r>
      <w:r w:rsidR="006854C2">
        <w:rPr>
          <w:sz w:val="20"/>
          <w:szCs w:val="20"/>
        </w:rPr>
        <w:instrText>ADDIN CSL_CITATION {"citationItems":[{"id":"ITEM-1","itemData":{"author":[{"dropping-particle":"","family":"Pemerintah Kota","given":"","non-dropping-particle":"","parse-names":false,"suffix":""},{"dropping-particle":"","family":"Surabaya","given":"","non-dropping-particle":"","parse-names":false,"suffix":""}],"id":"ITEM-1","issued":{"date-parts":[["2021"]]},"title":"Pemerintah Kota Surabaya Rencana Strategis ( Renstra ) Tahun 2016-2021","type":"article-journal"},"uris":["http://www.mendeley.com/documents/?uuid=f383b326-ec65-47dd-a322-0360b566247d"]}],"mendeley":{"formattedCitation":"(Pemerintah Kota and Surabaya, 2021)","manualFormatting":"(Pemerintah Kota Surabaya, 2021)","plainTextFormattedCitation":"(Pemerintah Kota and Surabaya, 2021)","previouslyFormattedCitation":"(Pemerintah Kota and Surabaya, 2021)"},"properties":{"noteIndex":0},"schema":"https://github.com/citation-style-language/schema/raw/master/csl-citation.json"}</w:instrText>
      </w:r>
      <w:r w:rsidR="006854C2">
        <w:rPr>
          <w:sz w:val="20"/>
          <w:szCs w:val="20"/>
        </w:rPr>
        <w:fldChar w:fldCharType="separate"/>
      </w:r>
      <w:r w:rsidR="006854C2" w:rsidRPr="006854C2">
        <w:rPr>
          <w:noProof/>
          <w:sz w:val="20"/>
          <w:szCs w:val="20"/>
        </w:rPr>
        <w:t>(Pemerintah Kota Surabaya, 2021)</w:t>
      </w:r>
      <w:r w:rsidR="006854C2">
        <w:rPr>
          <w:sz w:val="20"/>
          <w:szCs w:val="20"/>
        </w:rPr>
        <w:fldChar w:fldCharType="end"/>
      </w:r>
      <w:r w:rsidRPr="00D45EEB">
        <w:rPr>
          <w:sz w:val="20"/>
          <w:szCs w:val="20"/>
        </w:rPr>
        <w:t>. This happens due to several factors,</w:t>
      </w:r>
      <w:bookmarkStart w:id="1" w:name="_Hlk56948674"/>
      <w:bookmarkEnd w:id="1"/>
    </w:p>
    <w:p w14:paraId="5C7278EB" w14:textId="19C08E5E" w:rsidR="00D45EEB" w:rsidRPr="00D45EEB" w:rsidRDefault="00D45EEB" w:rsidP="00ED5751">
      <w:pPr>
        <w:ind w:firstLine="567"/>
        <w:jc w:val="both"/>
        <w:rPr>
          <w:sz w:val="20"/>
          <w:szCs w:val="20"/>
        </w:rPr>
      </w:pPr>
      <w:r w:rsidRPr="00D45EEB">
        <w:rPr>
          <w:sz w:val="20"/>
          <w:szCs w:val="20"/>
        </w:rPr>
        <w:t xml:space="preserve">Many factors influence the occurrence of malnutrition status, including the socioeconomic status of parents in terms of parents' work, the surrounding environment, parents' ignorance about providing good nutrition for children, parents' perceptions through received stimuli and based on later knowledge. to monitor the growth of children under five and take steps to control the nutritional status of children under five </w:t>
      </w:r>
      <w:bookmarkStart w:id="2" w:name="_Hlk56948689"/>
      <w:bookmarkEnd w:id="2"/>
      <w:r w:rsidR="00331F3D">
        <w:rPr>
          <w:sz w:val="20"/>
          <w:szCs w:val="20"/>
        </w:rPr>
        <w:fldChar w:fldCharType="begin" w:fldLock="1"/>
      </w:r>
      <w:r w:rsidR="00331F3D">
        <w:rPr>
          <w:sz w:val="20"/>
          <w:szCs w:val="20"/>
        </w:rPr>
        <w:instrText>ADDIN CSL_CITATION {"citationItems":[{"id":"ITEM-1","itemData":{"DOI":"10.33088/jmk.v8i2.283","ISSN":"1979-5750","abstract":"Less of nutrients is one of the nutrient disturbance disease because the less of foodconcumptions. Children’s weights is less to 80% index of weight accoding to age. PuskesmasSukamerindu had the highest score of child under five years old with nutrientless. Thepurpose of this research is to know the relation of mothers knowledge degree economic leveland the sun of family members with nutrient degree at Puskesmas Sukamerindu. This researchuse descriptive analytic research desaign with case control scheme. The population in thisresearch is all of the children under five years old in Puskesmas Sukamerindu region, thesample is 60 childs under five years old with case sample is taking by total sampling andcontrol sample is taking by purposive sampling. The method of taking the data is usingsecondary data and primary data (quisionary whereas the method of analyzing data is usingChi-Square). The result of univaried analyzing is almost half of part (31,7%) mother’s hadless of knowledge degree, almost half of past (45,0%) family had low of economic level,almost half of part (46,7%) family had the sum of family members &gt; 4 persons. The result ofbivaried analyzing shows there is a mean relation between mothers knowledge degree (p =0,000), economic level (p = 0,000) with nutriet degree of child under five years old. The resultof this research shows there isn’t a relation between the sum of family member (p = 0,547)with nutrient degree of child under years old. Hoping for the paramedics especially midwifecan increasing the nutrient knowledge of the mothers with give a conseling about nutrient anddo the monitoring nutrient degree periodicly.","author":[{"dropping-particle":"","family":"Handayani","given":"Reska","non-dropping-particle":"","parse-names":false,"suffix":""}],"container-title":"Jurnal Media Kesehatan","id":"ITEM-1","issue":"2","issued":{"date-parts":[["2018"]]},"page":"190-197","title":"Faktor-Faktor Yang Berhubungan Dengan Status Gizi Balita","type":"article-journal","volume":"8"},"uris":["http://www.mendeley.com/documents/?uuid=f1774a59-6c0a-45ed-a1e8-0a5be9c408e6"]}],"mendeley":{"formattedCitation":"(Handayani, 2018)","plainTextFormattedCitation":"(Handayani, 2018)","previouslyFormattedCitation":"(Handayani, 2018)"},"properties":{"noteIndex":0},"schema":"https://github.com/citation-style-language/schema/raw/master/csl-citation.json"}</w:instrText>
      </w:r>
      <w:r w:rsidR="00331F3D">
        <w:rPr>
          <w:sz w:val="20"/>
          <w:szCs w:val="20"/>
        </w:rPr>
        <w:fldChar w:fldCharType="separate"/>
      </w:r>
      <w:r w:rsidR="00331F3D" w:rsidRPr="00331F3D">
        <w:rPr>
          <w:noProof/>
          <w:sz w:val="20"/>
          <w:szCs w:val="20"/>
        </w:rPr>
        <w:t>(Handayani, 2018)</w:t>
      </w:r>
      <w:r w:rsidR="00331F3D">
        <w:rPr>
          <w:sz w:val="20"/>
          <w:szCs w:val="20"/>
        </w:rPr>
        <w:fldChar w:fldCharType="end"/>
      </w:r>
    </w:p>
    <w:p w14:paraId="2E95B07B" w14:textId="061C56D9" w:rsidR="00D45EEB" w:rsidRPr="00D45EEB" w:rsidRDefault="00D45EEB" w:rsidP="00ED5751">
      <w:pPr>
        <w:ind w:firstLine="567"/>
        <w:jc w:val="both"/>
        <w:rPr>
          <w:sz w:val="20"/>
          <w:szCs w:val="20"/>
        </w:rPr>
      </w:pPr>
      <w:r w:rsidRPr="00D45EEB">
        <w:rPr>
          <w:sz w:val="20"/>
          <w:szCs w:val="20"/>
        </w:rPr>
        <w:t xml:space="preserve">According to </w:t>
      </w:r>
      <w:proofErr w:type="spellStart"/>
      <w:r w:rsidRPr="00DC5A80">
        <w:rPr>
          <w:sz w:val="20"/>
          <w:szCs w:val="20"/>
        </w:rPr>
        <w:t>Puspasari's</w:t>
      </w:r>
      <w:proofErr w:type="spellEnd"/>
      <w:r w:rsidRPr="00DC5A80">
        <w:rPr>
          <w:sz w:val="20"/>
          <w:szCs w:val="20"/>
        </w:rPr>
        <w:t xml:space="preserve"> research (2017)</w:t>
      </w:r>
      <w:proofErr w:type="gramStart"/>
      <w:r w:rsidRPr="00DC5A80">
        <w:rPr>
          <w:sz w:val="20"/>
          <w:szCs w:val="20"/>
        </w:rPr>
        <w:t>,</w:t>
      </w:r>
      <w:proofErr w:type="gramEnd"/>
      <w:r w:rsidRPr="00DC5A80">
        <w:rPr>
          <w:sz w:val="20"/>
          <w:szCs w:val="20"/>
        </w:rPr>
        <w:t xml:space="preserve"> mothers</w:t>
      </w:r>
      <w:r w:rsidRPr="00D45EEB">
        <w:rPr>
          <w:sz w:val="20"/>
          <w:szCs w:val="20"/>
        </w:rPr>
        <w:t xml:space="preserve"> who have more knowledge about nutrition with normal toddler nutritional status (57.5%) are more than mothers who have knowledge about nutrition with abnormal nutritional status (2.1%). Mother's knowledge about nutrition has a relationship with the nutritional status of children under five (BW / U). The mother's high level of knowledge about nutrition can affect the toddler's diet and ultimately will affect the nutritional status of the toddler. Grouped with the nutritional status of children aged 12-24 months, mothers who have the latest education level of SD / MI with normal nutritional status of children under five (25.5%) are more than mothers who have the last education level of SD / MI with abnormal nutritional status of children under five (17.0%)</w:t>
      </w:r>
      <w:bookmarkStart w:id="3" w:name="_Hlk56948699"/>
      <w:bookmarkEnd w:id="3"/>
      <w:r w:rsidR="006854C2">
        <w:rPr>
          <w:sz w:val="20"/>
          <w:szCs w:val="20"/>
        </w:rPr>
        <w:t xml:space="preserve"> </w:t>
      </w:r>
      <w:r w:rsidRPr="00D45EEB">
        <w:rPr>
          <w:sz w:val="20"/>
          <w:szCs w:val="20"/>
        </w:rPr>
        <w:fldChar w:fldCharType="begin" w:fldLock="1"/>
      </w:r>
      <w:r w:rsidR="009200D1">
        <w:rPr>
          <w:sz w:val="20"/>
          <w:szCs w:val="20"/>
        </w:rPr>
        <w:instrText>ADDIN CSL_CITATION {"citationItems":[{"id":"ITEM-1","itemData":{"DOI":"10.20473/amnt.v1.i4.2017.369-378","author":[{"dropping-particle":"","family":"Puspasari","given":"Nindyna","non-dropping-particle":"","parse-names":false,"suffix":""},{"dropping-particle":"","family":"Andriani","given":"Merryana","non-dropping-particle":"","parse-names":false,"suffix":""}],"container-title":"Amerta Nutr","id":"ITEM-1","issue":"2","issued":{"date-parts":[["2017"]]},"page":"369-378","title":"Hubungan Pengetahuan Ibu tentang Gizi dan Asupan Makan Balita dengan Status Gizi Balita ( BB / U ) Usia 12-24 Bulan Association Mother ’ s Nutrition Knowledge and Toddler ’ s Nutrition Intake with Toddler ’ s Nutritional Status ( WAZ ) at the Age 12 -24 M","type":"article-journal","volume":"3"},"uris":["http://www.mendeley.com/documents/?uuid=6d40ba7d-f6ce-4858-92cb-ddbd2ed0447a","http://www.mendeley.com/documents/?uuid=3af88dac-3562-4223-80fd-3fe0a34eba54","http://www.mendeley.com/documents/?uuid=e6aa8c09-667e-4f28-b526-b3aedab7b94d"]}],"mendeley":{"formattedCitation":"(Puspasari and Andriani, 2017)","plainTextFormattedCitation":"(Puspasari and Andriani, 2017)","previouslyFormattedCitation":"(Puspasari and Andriani, 2017)"},"properties":{"noteIndex":0},"schema":"https://github.com/citation-style-language/schema/raw/master/csl-citation.json"}</w:instrText>
      </w:r>
      <w:r w:rsidRPr="00D45EEB">
        <w:rPr>
          <w:sz w:val="20"/>
          <w:szCs w:val="20"/>
        </w:rPr>
        <w:fldChar w:fldCharType="separate"/>
      </w:r>
      <w:r w:rsidRPr="00D45EEB">
        <w:rPr>
          <w:noProof/>
          <w:sz w:val="20"/>
          <w:szCs w:val="20"/>
        </w:rPr>
        <w:t>(Puspasari and Andriani, 2017)</w:t>
      </w:r>
      <w:bookmarkStart w:id="4" w:name="_Hlk56948716"/>
      <w:bookmarkEnd w:id="4"/>
      <w:r w:rsidRPr="00D45EEB">
        <w:rPr>
          <w:sz w:val="20"/>
          <w:szCs w:val="20"/>
        </w:rPr>
        <w:fldChar w:fldCharType="end"/>
      </w:r>
      <w:r w:rsidRPr="00D45EEB">
        <w:rPr>
          <w:sz w:val="20"/>
          <w:szCs w:val="20"/>
        </w:rPr>
        <w:t>.</w:t>
      </w:r>
    </w:p>
    <w:p w14:paraId="3FA021BF" w14:textId="0287B572" w:rsidR="00D45EEB" w:rsidRPr="00D45EEB" w:rsidRDefault="004D3F5B" w:rsidP="00ED5751">
      <w:pPr>
        <w:ind w:firstLine="567"/>
        <w:jc w:val="both"/>
        <w:rPr>
          <w:sz w:val="20"/>
          <w:szCs w:val="20"/>
        </w:rPr>
      </w:pPr>
      <w:r>
        <w:rPr>
          <w:sz w:val="20"/>
          <w:szCs w:val="20"/>
        </w:rPr>
        <w:fldChar w:fldCharType="begin" w:fldLock="1"/>
      </w:r>
      <w:r w:rsidR="00B97159">
        <w:rPr>
          <w:sz w:val="20"/>
          <w:szCs w:val="20"/>
        </w:rPr>
        <w:instrText>ADDIN CSL_CITATION {"citationItems":[{"id":"ITEM-1","itemData":{"author":[{"dropping-particle":"","family":"Hayati, M., Sudiana, I.","given":"Kristiawati","non-dropping-particle":"","parse-names":false,"suffix":""}],"container-title":"Pediomaternal Nursing Journal","id":"ITEM-1","issued":{"date-parts":[["2014"]]},"page":"69-73","title":"Analisis Faktor Orang Tua yang Berhubungan dengan Status Gizi Balita Pendekatan Teori Health Belief Model","type":"article-journal","volume":"Vol 2, No"},"uris":["http://www.mendeley.com/documents/?uuid=b6442678-06ac-4992-af58-ff13c68d886b"]}],"mendeley":{"formattedCitation":"(Hayati, M., Sudiana, I., 2014)","manualFormatting":"Hayati, M., Sudiana, I., (2014)","plainTextFormattedCitation":"(Hayati, M., Sudiana, I., 2014)","previouslyFormattedCitation":"(Hayati, M., Sudiana, I., 2014)"},"properties":{"noteIndex":0},"schema":"https://github.com/citation-style-language/schema/raw/master/csl-citation.json"}</w:instrText>
      </w:r>
      <w:r>
        <w:rPr>
          <w:sz w:val="20"/>
          <w:szCs w:val="20"/>
        </w:rPr>
        <w:fldChar w:fldCharType="separate"/>
      </w:r>
      <w:r w:rsidRPr="004D3F5B">
        <w:rPr>
          <w:noProof/>
          <w:sz w:val="20"/>
          <w:szCs w:val="20"/>
        </w:rPr>
        <w:t xml:space="preserve">Hayati, M., Sudiana, I., </w:t>
      </w:r>
      <w:r>
        <w:rPr>
          <w:noProof/>
          <w:sz w:val="20"/>
          <w:szCs w:val="20"/>
        </w:rPr>
        <w:t>(</w:t>
      </w:r>
      <w:r w:rsidRPr="004D3F5B">
        <w:rPr>
          <w:noProof/>
          <w:sz w:val="20"/>
          <w:szCs w:val="20"/>
        </w:rPr>
        <w:t>2014)</w:t>
      </w:r>
      <w:r>
        <w:rPr>
          <w:sz w:val="20"/>
          <w:szCs w:val="20"/>
        </w:rPr>
        <w:fldChar w:fldCharType="end"/>
      </w:r>
      <w:r>
        <w:rPr>
          <w:sz w:val="20"/>
          <w:szCs w:val="20"/>
        </w:rPr>
        <w:t xml:space="preserve"> </w:t>
      </w:r>
      <w:r w:rsidR="00D45EEB" w:rsidRPr="00D45EEB">
        <w:rPr>
          <w:sz w:val="20"/>
          <w:szCs w:val="20"/>
        </w:rPr>
        <w:t>found that 95 (84.1%) respondents had a perception of sufficient vulnerability to the nutritional status of children under five, the perception of a person's vulnerability about the possibility of being exposed to a nutritional problem in their toddler will affect the behavior of parents and take prevention or seek treatment.</w:t>
      </w:r>
    </w:p>
    <w:p w14:paraId="7D3B65AA" w14:textId="28CBE3E9" w:rsidR="00D45EEB" w:rsidRPr="00D45EEB" w:rsidRDefault="00D45EEB" w:rsidP="00ED5751">
      <w:pPr>
        <w:ind w:firstLine="567"/>
        <w:jc w:val="both"/>
        <w:rPr>
          <w:sz w:val="20"/>
          <w:szCs w:val="20"/>
        </w:rPr>
      </w:pPr>
      <w:r w:rsidRPr="00D45EEB">
        <w:rPr>
          <w:sz w:val="20"/>
          <w:szCs w:val="20"/>
        </w:rPr>
        <w:t xml:space="preserve">The results of monitoring the </w:t>
      </w:r>
      <w:proofErr w:type="spellStart"/>
      <w:r w:rsidRPr="00D45EEB">
        <w:rPr>
          <w:i/>
          <w:iCs/>
          <w:sz w:val="20"/>
          <w:szCs w:val="20"/>
        </w:rPr>
        <w:t>Riset</w:t>
      </w:r>
      <w:proofErr w:type="spellEnd"/>
      <w:r w:rsidRPr="00D45EEB">
        <w:rPr>
          <w:i/>
          <w:iCs/>
          <w:sz w:val="20"/>
          <w:szCs w:val="20"/>
        </w:rPr>
        <w:t xml:space="preserve"> </w:t>
      </w:r>
      <w:proofErr w:type="spellStart"/>
      <w:r w:rsidRPr="00D45EEB">
        <w:rPr>
          <w:i/>
          <w:iCs/>
          <w:sz w:val="20"/>
          <w:szCs w:val="20"/>
        </w:rPr>
        <w:t>Kesehatan</w:t>
      </w:r>
      <w:proofErr w:type="spellEnd"/>
      <w:r w:rsidRPr="00D45EEB">
        <w:rPr>
          <w:i/>
          <w:iCs/>
          <w:sz w:val="20"/>
          <w:szCs w:val="20"/>
        </w:rPr>
        <w:t xml:space="preserve"> </w:t>
      </w:r>
      <w:proofErr w:type="spellStart"/>
      <w:r w:rsidRPr="00D45EEB">
        <w:rPr>
          <w:i/>
          <w:iCs/>
          <w:sz w:val="20"/>
          <w:szCs w:val="20"/>
        </w:rPr>
        <w:t>Dasar</w:t>
      </w:r>
      <w:proofErr w:type="spellEnd"/>
      <w:r w:rsidRPr="00D45EEB">
        <w:rPr>
          <w:sz w:val="20"/>
          <w:szCs w:val="20"/>
        </w:rPr>
        <w:t xml:space="preserve"> East Java Province data in 2013 stated that the prevalence of children aged 0-59 months experiencing malnutrition was 4.9%, and the prevalence of malnutrition children in 2018 was 3.35% </w:t>
      </w:r>
      <w:r w:rsidRPr="00D45EEB">
        <w:rPr>
          <w:sz w:val="20"/>
          <w:szCs w:val="20"/>
        </w:rPr>
        <w:fldChar w:fldCharType="begin" w:fldLock="1"/>
      </w:r>
      <w:r w:rsidR="009200D1">
        <w:rPr>
          <w:sz w:val="20"/>
          <w:szCs w:val="20"/>
        </w:rPr>
        <w:instrText>ADDIN CSL_CITATION {"citationItems":[{"id":"ITEM-1","itemData":{"DOI":"10.1002/qj","ISBN":"9786024164461 HEALTH STATISTICS","ISSN":"09750185","abstract":"Jakarta","author":[{"dropping-particle":"","family":"Kemenkes RI","given":"2018","non-dropping-particle":"","parse-names":false,"suffix":""}],"container-title":"Ministry of Health Indonesia","id":"ITEM-1","issued":{"date-parts":[["2018"]]},"number-of-pages":"107-108","title":"Profile Kesehatan Indonesia Tahun 2017","type":"book"},"uris":["http://www.mendeley.com/documents/?uuid=bc0f3ca4-84df-420e-a445-88acd0938f09","http://www.mendeley.com/documents/?uuid=812c494e-eb92-4f87-b7f0-494cde5e0777","http://www.mendeley.com/documents/?uuid=d85ee091-902e-407d-979b-dd2e65cfcf4f","http://www.mendeley.com/documents/?uuid=2055d21c-2767-4b7b-90e7-28e29c74216a"]}],"mendeley":{"formattedCitation":"(Kemenkes RI, 2018)","plainTextFormattedCitation":"(Kemenkes RI, 2018)","previouslyFormattedCitation":"(Kemenkes RI, 2018)"},"properties":{"noteIndex":0},"schema":"https://github.com/citation-style-language/schema/raw/master/csl-citation.json"}</w:instrText>
      </w:r>
      <w:r w:rsidRPr="00D45EEB">
        <w:rPr>
          <w:sz w:val="20"/>
          <w:szCs w:val="20"/>
        </w:rPr>
        <w:fldChar w:fldCharType="separate"/>
      </w:r>
      <w:r w:rsidRPr="00D45EEB">
        <w:rPr>
          <w:noProof/>
          <w:sz w:val="20"/>
          <w:szCs w:val="20"/>
        </w:rPr>
        <w:t>(Kemenkes RI, 2018)</w:t>
      </w:r>
      <w:r w:rsidRPr="00D45EEB">
        <w:rPr>
          <w:sz w:val="20"/>
          <w:szCs w:val="20"/>
        </w:rPr>
        <w:fldChar w:fldCharType="end"/>
      </w:r>
      <w:r w:rsidRPr="00D45EEB">
        <w:rPr>
          <w:sz w:val="20"/>
          <w:szCs w:val="20"/>
        </w:rPr>
        <w:t xml:space="preserve">. </w:t>
      </w:r>
      <w:proofErr w:type="gramStart"/>
      <w:r w:rsidRPr="00D45EEB">
        <w:rPr>
          <w:sz w:val="20"/>
          <w:szCs w:val="20"/>
        </w:rPr>
        <w:t>In East Java Province still experiencing the occurrence of malnutrition.</w:t>
      </w:r>
      <w:proofErr w:type="gramEnd"/>
    </w:p>
    <w:p w14:paraId="6AB81D52" w14:textId="5869DAC6" w:rsidR="00D45EEB" w:rsidRPr="00D45EEB" w:rsidRDefault="00D45EEB" w:rsidP="00ED5751">
      <w:pPr>
        <w:ind w:firstLine="567"/>
        <w:jc w:val="both"/>
        <w:rPr>
          <w:sz w:val="20"/>
          <w:szCs w:val="20"/>
        </w:rPr>
      </w:pPr>
      <w:r w:rsidRPr="00D45EEB">
        <w:rPr>
          <w:sz w:val="20"/>
          <w:szCs w:val="20"/>
        </w:rPr>
        <w:t xml:space="preserve">In 2015 the percentage of children under-five years old Below Red Line was 0.7% </w:t>
      </w:r>
      <w:r w:rsidRPr="00D45EEB">
        <w:rPr>
          <w:sz w:val="20"/>
          <w:szCs w:val="20"/>
        </w:rPr>
        <w:fldChar w:fldCharType="begin" w:fldLock="1"/>
      </w:r>
      <w:r w:rsidR="004D3F5B">
        <w:rPr>
          <w:sz w:val="20"/>
          <w:szCs w:val="20"/>
        </w:rPr>
        <w:instrText>ADDIN CSL_CITATION {"citationItems":[{"id":"ITEM-1","itemData":{"author":[{"dropping-particle":"","family":"Dinkes Kota Surabaya","given":"","non-dropping-particle":"","parse-names":false,"suffix":""}],"id":"ITEM-1","issued":{"date-parts":[["2015"]]},"publisher":"Profil Kesehatan Kota Surabaya","publisher-place":"Surabaya","title":"Profil Kesehatan Kota Surabaya","type":"book"},"uris":["http://www.mendeley.com/documents/?uuid=feee3bf8-9ccc-468b-861f-1f7cb6823a6b","http://www.mendeley.com/documents/?uuid=def67abe-64eb-4a31-9f46-3c16196bcff2","http://www.mendeley.com/documents/?uuid=a122690a-1ccf-4f8c-8ca9-821788e30020","http://www.mendeley.com/documents/?uuid=4a5342d2-31a0-461e-b522-77abc0643453"]}],"mendeley":{"formattedCitation":"(Dinkes Kota Surabaya, 2015)","plainTextFormattedCitation":"(Dinkes Kota Surabaya, 2015)","previouslyFormattedCitation":"(Dinkes Kota Surabaya, 2015)"},"properties":{"noteIndex":0},"schema":"https://github.com/citation-style-language/schema/raw/master/csl-citation.json"}</w:instrText>
      </w:r>
      <w:r w:rsidRPr="00D45EEB">
        <w:rPr>
          <w:sz w:val="20"/>
          <w:szCs w:val="20"/>
        </w:rPr>
        <w:fldChar w:fldCharType="separate"/>
      </w:r>
      <w:r w:rsidR="004D3F5B" w:rsidRPr="004D3F5B">
        <w:rPr>
          <w:noProof/>
          <w:sz w:val="20"/>
          <w:szCs w:val="20"/>
        </w:rPr>
        <w:t>(Dinkes Kota Surabaya, 2015)</w:t>
      </w:r>
      <w:r w:rsidRPr="00D45EEB">
        <w:rPr>
          <w:sz w:val="20"/>
          <w:szCs w:val="20"/>
        </w:rPr>
        <w:fldChar w:fldCharType="end"/>
      </w:r>
      <w:r w:rsidRPr="00D45EEB">
        <w:rPr>
          <w:sz w:val="20"/>
          <w:szCs w:val="20"/>
        </w:rPr>
        <w:t xml:space="preserve">. In 2016, the prevalence of under-five children Below Red Line in the city of Surabaya was 0.76% </w:t>
      </w:r>
      <w:r w:rsidRPr="00D45EEB">
        <w:rPr>
          <w:sz w:val="20"/>
          <w:szCs w:val="20"/>
        </w:rPr>
        <w:fldChar w:fldCharType="begin" w:fldLock="1"/>
      </w:r>
      <w:r w:rsidR="004D3F5B">
        <w:rPr>
          <w:sz w:val="20"/>
          <w:szCs w:val="20"/>
        </w:rPr>
        <w:instrText>ADDIN CSL_CITATION {"citationItems":[{"id":"ITEM-1","itemData":{"author":[{"dropping-particle":"","family":"Dinkes Kota Surabaya","given":"","non-dropping-particle":"","parse-names":false,"suffix":""}],"id":"ITEM-1","issued":{"date-parts":[["2016"]]},"page":"194","title":"Profil kesehatan Dinkes Kota Surabaya","type":"article-journal"},"uris":["http://www.mendeley.com/documents/?uuid=1987ede8-0a33-44b9-85d5-a75d89a1f7de"]}],"mendeley":{"formattedCitation":"(Dinkes Kota Surabaya, 2016a)","plainTextFormattedCitation":"(Dinkes Kota Surabaya, 2016a)","previouslyFormattedCitation":"(Dinkes Kota Surabaya, 2016a)"},"properties":{"noteIndex":0},"schema":"https://github.com/citation-style-language/schema/raw/master/csl-citation.json"}</w:instrText>
      </w:r>
      <w:r w:rsidRPr="00D45EEB">
        <w:rPr>
          <w:sz w:val="20"/>
          <w:szCs w:val="20"/>
        </w:rPr>
        <w:fldChar w:fldCharType="separate"/>
      </w:r>
      <w:r w:rsidR="004D3F5B" w:rsidRPr="004D3F5B">
        <w:rPr>
          <w:noProof/>
          <w:sz w:val="20"/>
          <w:szCs w:val="20"/>
        </w:rPr>
        <w:t>(Dinkes Kota Surabaya, 2016a)</w:t>
      </w:r>
      <w:r w:rsidRPr="00D45EEB">
        <w:rPr>
          <w:sz w:val="20"/>
          <w:szCs w:val="20"/>
        </w:rPr>
        <w:fldChar w:fldCharType="end"/>
      </w:r>
      <w:r w:rsidRPr="00D45EEB">
        <w:rPr>
          <w:sz w:val="20"/>
          <w:szCs w:val="20"/>
        </w:rPr>
        <w:t xml:space="preserve">. In 2017, the prevalence of toddler Below Red Line in the city of Surabaya was 0.64% </w:t>
      </w:r>
      <w:r w:rsidRPr="00D45EEB">
        <w:rPr>
          <w:sz w:val="20"/>
          <w:szCs w:val="20"/>
        </w:rPr>
        <w:fldChar w:fldCharType="begin" w:fldLock="1"/>
      </w:r>
      <w:r w:rsidR="009200D1">
        <w:rPr>
          <w:sz w:val="20"/>
          <w:szCs w:val="20"/>
        </w:rPr>
        <w:instrText>ADDIN CSL_CITATION {"citationItems":[{"id":"ITEM-1","itemData":{"author":[{"dropping-particle":"","family":"Dinkes Kota Surabaya","given":"","non-dropping-particle":"","parse-names":false,"suffix":""}],"id":"ITEM-1","issued":{"date-parts":[["2017"]]},"title":"Profil Kesehatan Kota Surabaya","type":"book"},"uris":["http://www.mendeley.com/documents/?uuid=63b3dae8-5c5c-46ae-a0d0-211fa82c4dd4","http://www.mendeley.com/documents/?uuid=994acbe6-a50a-4e3d-852a-4bb543107044","http://www.mendeley.com/documents/?uuid=472d62d9-920e-4d0a-bef7-6a9606bdad6f","http://www.mendeley.com/documents/?uuid=4bb22081-d848-4a4d-b1f3-01d6fa0d7713"]}],"mendeley":{"formattedCitation":"(Dinkes Kota Surabaya, 2017)","plainTextFormattedCitation":"(Dinkes Kota Surabaya, 2017)","previouslyFormattedCitation":"(Dinkes Kota Surabaya, 2017)"},"properties":{"noteIndex":0},"schema":"https://github.com/citation-style-language/schema/raw/master/csl-citation.json"}</w:instrText>
      </w:r>
      <w:r w:rsidRPr="00D45EEB">
        <w:rPr>
          <w:sz w:val="20"/>
          <w:szCs w:val="20"/>
        </w:rPr>
        <w:fldChar w:fldCharType="separate"/>
      </w:r>
      <w:r w:rsidRPr="00D45EEB">
        <w:rPr>
          <w:noProof/>
          <w:sz w:val="20"/>
          <w:szCs w:val="20"/>
        </w:rPr>
        <w:t>(Dinkes Kota Surabaya, 2017)</w:t>
      </w:r>
      <w:r w:rsidRPr="00D45EEB">
        <w:rPr>
          <w:sz w:val="20"/>
          <w:szCs w:val="20"/>
        </w:rPr>
        <w:fldChar w:fldCharType="end"/>
      </w:r>
      <w:r w:rsidRPr="00D45EEB">
        <w:rPr>
          <w:sz w:val="20"/>
          <w:szCs w:val="20"/>
        </w:rPr>
        <w:t xml:space="preserve">. Based on data from the Surabaya City Health Office, the </w:t>
      </w:r>
      <w:r w:rsidRPr="00D45EEB">
        <w:rPr>
          <w:sz w:val="20"/>
          <w:szCs w:val="20"/>
        </w:rPr>
        <w:lastRenderedPageBreak/>
        <w:t xml:space="preserve">status of Below Red Line under-five in </w:t>
      </w:r>
      <w:proofErr w:type="spellStart"/>
      <w:r w:rsidRPr="00D45EEB">
        <w:rPr>
          <w:i/>
          <w:iCs/>
          <w:sz w:val="20"/>
          <w:szCs w:val="20"/>
        </w:rPr>
        <w:t>Posyandu</w:t>
      </w:r>
      <w:proofErr w:type="spellEnd"/>
      <w:r w:rsidRPr="00D45EEB">
        <w:rPr>
          <w:sz w:val="20"/>
          <w:szCs w:val="20"/>
        </w:rPr>
        <w:t xml:space="preserve"> throughout Surabaya in 2017 found that the prevalence of Below Red Line was 0.66% with a total of 1,193 under-five years old out of a total of 179,662 under-five. </w:t>
      </w:r>
    </w:p>
    <w:p w14:paraId="3449C8A7" w14:textId="77777777" w:rsidR="00D45EEB" w:rsidRPr="00D45EEB" w:rsidRDefault="00D45EEB" w:rsidP="00ED5751">
      <w:pPr>
        <w:ind w:firstLine="567"/>
        <w:jc w:val="both"/>
        <w:rPr>
          <w:sz w:val="20"/>
          <w:szCs w:val="20"/>
        </w:rPr>
      </w:pPr>
      <w:r w:rsidRPr="00D45EEB">
        <w:rPr>
          <w:sz w:val="20"/>
          <w:szCs w:val="20"/>
        </w:rPr>
        <w:t xml:space="preserve">Although in Surabaya malnutrition has decreased but there are still those who experience malnutrition and it needs to be considered to prevent malnutrition in Surabaya from increasing because in Surabaya there are still mothers who lack knowledge about nutrition so that it affects the intake given to their children. </w:t>
      </w:r>
    </w:p>
    <w:p w14:paraId="0DA37DCC" w14:textId="15E3A3B6" w:rsidR="00D45EEB" w:rsidRPr="00D45EEB" w:rsidRDefault="00D45EEB" w:rsidP="00ED5751">
      <w:pPr>
        <w:ind w:firstLine="567"/>
        <w:jc w:val="both"/>
        <w:rPr>
          <w:sz w:val="20"/>
          <w:szCs w:val="20"/>
        </w:rPr>
      </w:pPr>
      <w:r w:rsidRPr="00D45EEB">
        <w:rPr>
          <w:sz w:val="20"/>
          <w:szCs w:val="20"/>
        </w:rPr>
        <w:t xml:space="preserve">The number of children under the Red Line (BRL) in the </w:t>
      </w:r>
      <w:proofErr w:type="spellStart"/>
      <w:r w:rsidRPr="00D45EEB">
        <w:rPr>
          <w:sz w:val="20"/>
          <w:szCs w:val="20"/>
        </w:rPr>
        <w:t>Wonokusumo</w:t>
      </w:r>
      <w:proofErr w:type="spellEnd"/>
      <w:r w:rsidRPr="00D45EEB">
        <w:rPr>
          <w:sz w:val="20"/>
          <w:szCs w:val="20"/>
        </w:rPr>
        <w:t xml:space="preserve"> Public Health Center in 2017 was 2.07%. The high number of children under-five years old below the red line in Surabaya, especially in the </w:t>
      </w:r>
      <w:proofErr w:type="spellStart"/>
      <w:r w:rsidRPr="00D45EEB">
        <w:rPr>
          <w:sz w:val="20"/>
          <w:szCs w:val="20"/>
        </w:rPr>
        <w:t>Wonokusmo</w:t>
      </w:r>
      <w:proofErr w:type="spellEnd"/>
      <w:r w:rsidRPr="00D45EEB">
        <w:rPr>
          <w:sz w:val="20"/>
          <w:szCs w:val="20"/>
        </w:rPr>
        <w:t xml:space="preserve"> Health Center Work Area by passing the target of malnutrition prevalence &lt;1% </w:t>
      </w:r>
      <w:r w:rsidRPr="00D45EEB">
        <w:rPr>
          <w:b/>
          <w:sz w:val="20"/>
          <w:szCs w:val="20"/>
        </w:rPr>
        <w:fldChar w:fldCharType="begin" w:fldLock="1"/>
      </w:r>
      <w:r w:rsidR="006854C2">
        <w:rPr>
          <w:b/>
          <w:sz w:val="20"/>
          <w:szCs w:val="20"/>
        </w:rPr>
        <w:instrText>ADDIN CSL_CITATION {"citationItems":[{"id":"ITEM-1","itemData":{"author":[{"dropping-particle":"","family":"Dinkes Kota Surabaya","given":"","non-dropping-particle":"","parse-names":false,"suffix":""}],"id":"ITEM-1","issued":{"date-parts":[["2016"]]},"title":"Rencana Strategis Tahun 2016-2021","type":"book"},"uris":["http://www.mendeley.com/documents/?uuid=15c3c8ba-2602-4e87-b7bf-d94da8d24978","http://www.mendeley.com/documents/?uuid=6973b3c5-cbdd-47eb-a6d2-64a42110a67f","http://www.mendeley.com/documents/?uuid=b42131d2-c012-4606-b00e-bd03adfe8ec4"]}],"mendeley":{"formattedCitation":"(Dinkes Kota Surabaya, 2016b)","manualFormatting":"(Dinkes Kota Surabaya, 2016)","plainTextFormattedCitation":"(Dinkes Kota Surabaya, 2016b)","previouslyFormattedCitation":"(Dinkes Kota Surabaya, 2016b)"},"properties":{"noteIndex":0},"schema":"https://github.com/citation-style-language/schema/raw/master/csl-citation.json"}</w:instrText>
      </w:r>
      <w:r w:rsidRPr="00D45EEB">
        <w:rPr>
          <w:b/>
          <w:sz w:val="20"/>
          <w:szCs w:val="20"/>
        </w:rPr>
        <w:fldChar w:fldCharType="separate"/>
      </w:r>
      <w:r w:rsidR="006854C2">
        <w:rPr>
          <w:noProof/>
          <w:sz w:val="20"/>
          <w:szCs w:val="20"/>
        </w:rPr>
        <w:t>(Dinkes Kota Surabaya, 2016</w:t>
      </w:r>
      <w:r w:rsidR="004D3F5B" w:rsidRPr="004D3F5B">
        <w:rPr>
          <w:noProof/>
          <w:sz w:val="20"/>
          <w:szCs w:val="20"/>
        </w:rPr>
        <w:t>)</w:t>
      </w:r>
      <w:r w:rsidRPr="00D45EEB">
        <w:rPr>
          <w:sz w:val="20"/>
          <w:szCs w:val="20"/>
        </w:rPr>
        <w:fldChar w:fldCharType="end"/>
      </w:r>
      <w:r w:rsidRPr="00D45EEB">
        <w:rPr>
          <w:b/>
          <w:sz w:val="20"/>
          <w:szCs w:val="20"/>
        </w:rPr>
        <w:t xml:space="preserve">. </w:t>
      </w:r>
      <w:r w:rsidRPr="00D45EEB">
        <w:rPr>
          <w:sz w:val="20"/>
          <w:szCs w:val="20"/>
        </w:rPr>
        <w:t>This happened due to several factors. This shows that in Surabaya there are still toddlers with malnutrition so that it can influence development in Indonesia, which has not been fully able to improve the quality of life of human resources.</w:t>
      </w:r>
    </w:p>
    <w:p w14:paraId="541DA764" w14:textId="5924550D" w:rsidR="00D45EEB" w:rsidRPr="00D45EEB" w:rsidRDefault="00D45EEB" w:rsidP="00ED5751">
      <w:pPr>
        <w:ind w:firstLine="567"/>
        <w:jc w:val="both"/>
        <w:rPr>
          <w:sz w:val="20"/>
          <w:szCs w:val="20"/>
        </w:rPr>
      </w:pPr>
      <w:r w:rsidRPr="00D45EEB">
        <w:rPr>
          <w:sz w:val="20"/>
          <w:szCs w:val="20"/>
        </w:rPr>
        <w:t xml:space="preserve">In this study, there were 10 respondents with an age range of 25-36 years who had a perception of less seriousness, possibly due to insufficient knowledge about the nutritional status of toddlers, the more anxious or serious the individual is about the impact that will occur if they experience nutritional problems, the better. </w:t>
      </w:r>
      <w:proofErr w:type="gramStart"/>
      <w:r w:rsidRPr="00D45EEB">
        <w:rPr>
          <w:sz w:val="20"/>
          <w:szCs w:val="20"/>
        </w:rPr>
        <w:t>take</w:t>
      </w:r>
      <w:proofErr w:type="gramEnd"/>
      <w:r w:rsidRPr="00D45EEB">
        <w:rPr>
          <w:sz w:val="20"/>
          <w:szCs w:val="20"/>
        </w:rPr>
        <w:t xml:space="preserve"> action to improve the good nutritional status of children under five. As many as 71 people (62.8%) had sufficient perceptions of benefits and obstacles to the nutritional status of children under five. As many as 80 (70.8%) of respondents had instructions to behave adequately towards the nutritional status of children under five and stated that they felt a strong driving factor </w:t>
      </w:r>
      <w:bookmarkStart w:id="5" w:name="_Hlk56948738"/>
      <w:bookmarkEnd w:id="5"/>
      <w:r w:rsidR="00331F3D">
        <w:rPr>
          <w:sz w:val="20"/>
          <w:szCs w:val="20"/>
        </w:rPr>
        <w:fldChar w:fldCharType="begin" w:fldLock="1"/>
      </w:r>
      <w:r w:rsidR="00331F3D">
        <w:rPr>
          <w:sz w:val="20"/>
          <w:szCs w:val="20"/>
        </w:rPr>
        <w:instrText>ADDIN CSL_CITATION {"citationItems":[{"id":"ITEM-1","itemData":{"author":[{"dropping-particle":"","family":"Hayati, M., Sudiana, I.","given":"Kristiawati","non-dropping-particle":"","parse-names":false,"suffix":""}],"container-title":"Pediomaternal Nursing Journal","id":"ITEM-1","issued":{"date-parts":[["2014"]]},"page":"69-73","title":"Analisis Faktor Orang Tua yang Berhubungan dengan Status Gizi Balita Pendekatan Teori Health Belief Model","type":"article-journal","volume":"Vol 2, No"},"uris":["http://www.mendeley.com/documents/?uuid=b6442678-06ac-4992-af58-ff13c68d886b"]}],"mendeley":{"formattedCitation":"(Hayati, M., Sudiana, I., 2014)","plainTextFormattedCitation":"(Hayati, M., Sudiana, I., 2014)","previouslyFormattedCitation":"(Hayati, M., Sudiana, I., 2014)"},"properties":{"noteIndex":0},"schema":"https://github.com/citation-style-language/schema/raw/master/csl-citation.json"}</w:instrText>
      </w:r>
      <w:r w:rsidR="00331F3D">
        <w:rPr>
          <w:sz w:val="20"/>
          <w:szCs w:val="20"/>
        </w:rPr>
        <w:fldChar w:fldCharType="separate"/>
      </w:r>
      <w:r w:rsidR="00331F3D" w:rsidRPr="00331F3D">
        <w:rPr>
          <w:noProof/>
          <w:sz w:val="20"/>
          <w:szCs w:val="20"/>
        </w:rPr>
        <w:t>(Hayati, M., Sudiana, I., 2014)</w:t>
      </w:r>
      <w:r w:rsidR="00331F3D">
        <w:rPr>
          <w:sz w:val="20"/>
          <w:szCs w:val="20"/>
        </w:rPr>
        <w:fldChar w:fldCharType="end"/>
      </w:r>
      <w:r w:rsidR="00331F3D">
        <w:rPr>
          <w:sz w:val="20"/>
          <w:szCs w:val="20"/>
        </w:rPr>
        <w:t>.</w:t>
      </w:r>
    </w:p>
    <w:p w14:paraId="10AB8E95" w14:textId="7E382F21" w:rsidR="00D45EEB" w:rsidRPr="00D45EEB" w:rsidRDefault="00D45EEB" w:rsidP="00ED5751">
      <w:pPr>
        <w:ind w:firstLine="567"/>
        <w:jc w:val="both"/>
        <w:rPr>
          <w:sz w:val="20"/>
          <w:szCs w:val="20"/>
        </w:rPr>
      </w:pPr>
      <w:r w:rsidRPr="00D45EEB">
        <w:rPr>
          <w:sz w:val="20"/>
          <w:szCs w:val="20"/>
        </w:rPr>
        <w:t xml:space="preserve">In Surabaya, there are still many toddlers aged 12-59 months who suffer from malnutrition even though they have received health services from the local </w:t>
      </w:r>
      <w:proofErr w:type="spellStart"/>
      <w:r w:rsidRPr="00D45EEB">
        <w:rPr>
          <w:sz w:val="20"/>
          <w:szCs w:val="20"/>
        </w:rPr>
        <w:t>Puskesmas</w:t>
      </w:r>
      <w:proofErr w:type="spellEnd"/>
      <w:r w:rsidRPr="00D45EEB">
        <w:rPr>
          <w:sz w:val="20"/>
          <w:szCs w:val="20"/>
        </w:rPr>
        <w:t xml:space="preserve">, especially in the </w:t>
      </w:r>
      <w:proofErr w:type="spellStart"/>
      <w:r w:rsidRPr="00D45EEB">
        <w:rPr>
          <w:sz w:val="20"/>
          <w:szCs w:val="20"/>
        </w:rPr>
        <w:t>Wonokusumo</w:t>
      </w:r>
      <w:proofErr w:type="spellEnd"/>
      <w:r w:rsidRPr="00D45EEB">
        <w:rPr>
          <w:sz w:val="20"/>
          <w:szCs w:val="20"/>
        </w:rPr>
        <w:t xml:space="preserve"> </w:t>
      </w:r>
      <w:proofErr w:type="spellStart"/>
      <w:r w:rsidRPr="00D45EEB">
        <w:rPr>
          <w:sz w:val="20"/>
          <w:szCs w:val="20"/>
        </w:rPr>
        <w:t>Puskesmas</w:t>
      </w:r>
      <w:proofErr w:type="spellEnd"/>
      <w:r w:rsidRPr="00D45EEB">
        <w:rPr>
          <w:sz w:val="20"/>
          <w:szCs w:val="20"/>
        </w:rPr>
        <w:t xml:space="preserve"> area, Surabaya, where there were 4,364 children under five and received 2,102 (48.17%) health services, but still As many as 80 children under five BGM (1.93%) still exceed the Strategic Plan target &lt;1% </w:t>
      </w:r>
      <w:r w:rsidRPr="00D45EEB">
        <w:rPr>
          <w:sz w:val="20"/>
          <w:szCs w:val="20"/>
        </w:rPr>
        <w:fldChar w:fldCharType="begin" w:fldLock="1"/>
      </w:r>
      <w:r w:rsidR="009200D1">
        <w:rPr>
          <w:sz w:val="20"/>
          <w:szCs w:val="20"/>
        </w:rPr>
        <w:instrText>ADDIN CSL_CITATION {"citationItems":[{"id":"ITEM-1","itemData":{"author":[{"dropping-particle":"","family":"Dinkes Kota Surabaya","given":"","non-dropping-particle":"","parse-names":false,"suffix":""}],"id":"ITEM-1","issued":{"date-parts":[["2016"]]},"title":"Rencana Strategis Tahun 2016-2021","type":"book"},"uris":["http://www.mendeley.com/documents/?uuid=b42131d2-c012-4606-b00e-bd03adfe8ec4","http://www.mendeley.com/documents/?uuid=6973b3c5-cbdd-47eb-a6d2-64a42110a67f","http://www.mendeley.com/documents/?uuid=15c3c8ba-2602-4e87-b7bf-d94da8d24978"]}],"mendeley":{"formattedCitation":"(Dinkes Kota Surabaya, 2016b)","plainTextFormattedCitation":"(Dinkes Kota Surabaya, 2016b)","previouslyFormattedCitation":"(Dinkes Kota Surabaya, 2016b)"},"properties":{"noteIndex":0},"schema":"https://github.com/citation-style-language/schema/raw/master/csl-citation.json"}</w:instrText>
      </w:r>
      <w:r w:rsidRPr="00D45EEB">
        <w:rPr>
          <w:sz w:val="20"/>
          <w:szCs w:val="20"/>
        </w:rPr>
        <w:fldChar w:fldCharType="separate"/>
      </w:r>
      <w:r w:rsidR="00A740E9" w:rsidRPr="00A740E9">
        <w:rPr>
          <w:noProof/>
          <w:sz w:val="20"/>
          <w:szCs w:val="20"/>
        </w:rPr>
        <w:t>(Dinkes Kota Surabaya, 2016b)</w:t>
      </w:r>
      <w:r w:rsidRPr="00D45EEB">
        <w:rPr>
          <w:sz w:val="20"/>
          <w:szCs w:val="20"/>
        </w:rPr>
        <w:fldChar w:fldCharType="end"/>
      </w:r>
      <w:r w:rsidRPr="00D45EEB">
        <w:rPr>
          <w:sz w:val="20"/>
          <w:szCs w:val="20"/>
        </w:rPr>
        <w:t>.</w:t>
      </w:r>
    </w:p>
    <w:p w14:paraId="2089A925" w14:textId="296CF826" w:rsidR="00D45EEB" w:rsidRPr="00D45EEB" w:rsidRDefault="00D45EEB" w:rsidP="00ED5751">
      <w:pPr>
        <w:ind w:firstLine="567"/>
        <w:jc w:val="both"/>
        <w:rPr>
          <w:sz w:val="20"/>
          <w:szCs w:val="20"/>
        </w:rPr>
      </w:pPr>
      <w:r w:rsidRPr="00D45EEB">
        <w:rPr>
          <w:sz w:val="20"/>
          <w:szCs w:val="20"/>
        </w:rPr>
        <w:t xml:space="preserve">According to the results of research conducted by </w:t>
      </w:r>
      <w:proofErr w:type="spellStart"/>
      <w:r w:rsidRPr="00D45EEB">
        <w:rPr>
          <w:sz w:val="20"/>
          <w:szCs w:val="20"/>
        </w:rPr>
        <w:t>Rahmatillah</w:t>
      </w:r>
      <w:proofErr w:type="spellEnd"/>
      <w:r w:rsidRPr="00D45EEB">
        <w:rPr>
          <w:sz w:val="20"/>
          <w:szCs w:val="20"/>
        </w:rPr>
        <w:t xml:space="preserve"> (2018) in </w:t>
      </w:r>
      <w:proofErr w:type="spellStart"/>
      <w:r w:rsidRPr="00D45EEB">
        <w:rPr>
          <w:sz w:val="20"/>
          <w:szCs w:val="20"/>
        </w:rPr>
        <w:t>Wonokusumo</w:t>
      </w:r>
      <w:proofErr w:type="spellEnd"/>
      <w:r w:rsidRPr="00D45EEB">
        <w:rPr>
          <w:sz w:val="20"/>
          <w:szCs w:val="20"/>
        </w:rPr>
        <w:t xml:space="preserve"> Village, Surabaya, it was found that 65 respondents or around 18.75% had insufficient knowledge. This is indeed good enough, but still the mother's knowledge of toddler nutrition must be improved so that the mother's understanding and knowledge can be even better </w:t>
      </w:r>
      <w:bookmarkStart w:id="6" w:name="_Hlk56948759"/>
      <w:bookmarkEnd w:id="6"/>
      <w:r w:rsidR="00331F3D">
        <w:rPr>
          <w:sz w:val="20"/>
          <w:szCs w:val="20"/>
        </w:rPr>
        <w:fldChar w:fldCharType="begin" w:fldLock="1"/>
      </w:r>
      <w:r w:rsidR="00331F3D">
        <w:rPr>
          <w:sz w:val="20"/>
          <w:szCs w:val="20"/>
        </w:rPr>
        <w:instrText>ADDIN CSL_CITATION {"citationItems":[{"id":"ITEM-1","itemData":{"DOI":"10.20473/amnt.v2i1.2018.106-112","ISSN":"2580-1163","abstract":"Background: Toddler's nutrition is a serious problem in several areas of Indonesia, one of them is Surabaya. In 2015 Surabaya have 513 toddlers with nutrition status below the red line (BGM). Nutritional status is influenced by nutrition intake of children under five which indirectly can be influenced by several factors include knowledge, attitude and action from mother of toddler.Objective: The aims of this study to determine factors that affect the nutritional status of toddler.Methods: This research is an analytical research with cross sectional design with population of all mother of children aged 1-4 years in RW 15 Wonokusumo Sub district, Semampir Sub district, Surabaya City. The sample of this research is 80 samples with simple sampling random sampling technique.Results: The results of statistical calculations showed there is a relationship between the knowledge with nutritional status of children under five with p = 0.001. Moreover, the result shown there is a relationship between attitude with nutritional status of children with p = 0.001. And also there is a relationship between action with nutritional status of children under five with p = 0. 001.Conclusion: From the results of the analysis that has been done can be concluded that the three variables of knowledge, attitude and action have a significant relationship to the nutritional status of children. It is suggested to Puskesmas to give more education to mother of toddler about what is nutrition status of toddler. For the community is expected to be more active in maintaining nutrient intake for the toddler and for researchers are expected to further examine the analysis of any relationship that can affect the nutritional status of children.ABSTRAKLatar Belakang: Persoalan gizi pada balita masih menjadi permasalahan yang sangat serius pada beberapa daerah di Indonesia salah satunya adalah Kota Surabaya. Pada tahun 2015 di Kota Surabaya terdapat 513 balita dengan status di bawah garis merah (BGM). Status gizi dipengaruhi oleh asupan zat gizi balita yang secara tidak langsung dapat dipengaruhi oleh beberapa faktor meliputi pengetahuan, sikap dan tindakan dari ibu balita.Tujuan: Penelitian ini bertujuan untuk mengetahui faktor apa saja yang dapat mempengaruhi status gizi balita.Metode: Penelitian ini adalah penelitian analitik dengan desain Cross sectional dengan populasi seluruh ibu balita usia 1-4 tahun di wilayah RW 15 Kelurahan Wonokusumo Kecamatan Semampir Kota Surabaya. Sampel penelitia…","author":[{"dropping-particle":"","family":"Rahmatillah","given":"Daning Kurnia","non-dropping-particle":"","parse-names":false,"suffix":""}],"container-title":"Amerta Nutrition","id":"ITEM-1","issue":"1","issued":{"date-parts":[["2018"]]},"page":"106","title":"Hubungan Pengetahuan Sikap dan Tindakan terhadap Status Gizi","type":"article","volume":"2"},"uris":["http://www.mendeley.com/documents/?uuid=68f6533d-7339-47ac-825b-c60734f14766"]}],"mendeley":{"formattedCitation":"(Rahmatillah, 2018)","plainTextFormattedCitation":"(Rahmatillah, 2018)","previouslyFormattedCitation":"(Rahmatillah, 2018)"},"properties":{"noteIndex":0},"schema":"https://github.com/citation-style-language/schema/raw/master/csl-citation.json"}</w:instrText>
      </w:r>
      <w:r w:rsidR="00331F3D">
        <w:rPr>
          <w:sz w:val="20"/>
          <w:szCs w:val="20"/>
        </w:rPr>
        <w:fldChar w:fldCharType="separate"/>
      </w:r>
      <w:r w:rsidR="00331F3D" w:rsidRPr="00331F3D">
        <w:rPr>
          <w:noProof/>
          <w:sz w:val="20"/>
          <w:szCs w:val="20"/>
        </w:rPr>
        <w:t>(Rahmatillah, 2018)</w:t>
      </w:r>
      <w:r w:rsidR="00331F3D">
        <w:rPr>
          <w:sz w:val="20"/>
          <w:szCs w:val="20"/>
        </w:rPr>
        <w:fldChar w:fldCharType="end"/>
      </w:r>
      <w:r w:rsidR="00331F3D">
        <w:rPr>
          <w:sz w:val="20"/>
          <w:szCs w:val="20"/>
        </w:rPr>
        <w:t>.</w:t>
      </w:r>
    </w:p>
    <w:p w14:paraId="5C2AC110" w14:textId="11AF28FA" w:rsidR="00D45EEB" w:rsidRPr="00D45EEB" w:rsidRDefault="00D45EEB" w:rsidP="00ED5751">
      <w:pPr>
        <w:ind w:firstLine="567"/>
        <w:jc w:val="both"/>
        <w:rPr>
          <w:sz w:val="20"/>
          <w:szCs w:val="20"/>
        </w:rPr>
      </w:pPr>
      <w:r w:rsidRPr="00D45EEB">
        <w:rPr>
          <w:sz w:val="20"/>
          <w:szCs w:val="20"/>
        </w:rPr>
        <w:t>In addition, research by</w:t>
      </w:r>
      <w:r w:rsidR="006854C2">
        <w:rPr>
          <w:sz w:val="20"/>
          <w:szCs w:val="20"/>
        </w:rPr>
        <w:t xml:space="preserve"> </w:t>
      </w:r>
      <w:r w:rsidR="006854C2">
        <w:rPr>
          <w:sz w:val="20"/>
          <w:szCs w:val="20"/>
        </w:rPr>
        <w:fldChar w:fldCharType="begin" w:fldLock="1"/>
      </w:r>
      <w:r w:rsidR="006854C2">
        <w:rPr>
          <w:sz w:val="20"/>
          <w:szCs w:val="20"/>
        </w:rPr>
        <w:instrText>ADDIN CSL_CITATION {"citationItems":[{"id":"ITEM-1","itemData":{"DOI":"10.20473/mgi.v13i2.176","author":[{"dropping-particle":"","family":"Rachmayanti","given":"Riris Diana","non-dropping-particle":"","parse-names":false,"suffix":""}],"id":"ITEM-1","issue":"2018","issued":{"date-parts":[["2017"]]},"page":"176-182","title":"Pengenalan Program Kadarzi Di Kelurahan","type":"article-journal"},"uris":["http://www.mendeley.com/documents/?uuid=0db51f75-d9fd-4791-8d78-a69db870c33c"]}],"mendeley":{"formattedCitation":"(Rachmayanti, 2017)","manualFormatting":"Rachmayanti, (2017)","plainTextFormattedCitation":"(Rachmayanti, 2017)","previouslyFormattedCitation":"(Rachmayanti, 2017)"},"properties":{"noteIndex":0},"schema":"https://github.com/citation-style-language/schema/raw/master/csl-citation.json"}</w:instrText>
      </w:r>
      <w:r w:rsidR="006854C2">
        <w:rPr>
          <w:sz w:val="20"/>
          <w:szCs w:val="20"/>
        </w:rPr>
        <w:fldChar w:fldCharType="separate"/>
      </w:r>
      <w:r w:rsidR="006854C2" w:rsidRPr="006854C2">
        <w:rPr>
          <w:noProof/>
          <w:sz w:val="20"/>
          <w:szCs w:val="20"/>
        </w:rPr>
        <w:t>Rachmayanti,</w:t>
      </w:r>
      <w:r w:rsidR="006854C2">
        <w:rPr>
          <w:noProof/>
          <w:sz w:val="20"/>
          <w:szCs w:val="20"/>
        </w:rPr>
        <w:t xml:space="preserve"> (</w:t>
      </w:r>
      <w:r w:rsidR="006854C2" w:rsidRPr="006854C2">
        <w:rPr>
          <w:noProof/>
          <w:sz w:val="20"/>
          <w:szCs w:val="20"/>
        </w:rPr>
        <w:t>2017)</w:t>
      </w:r>
      <w:r w:rsidR="006854C2">
        <w:rPr>
          <w:sz w:val="20"/>
          <w:szCs w:val="20"/>
        </w:rPr>
        <w:fldChar w:fldCharType="end"/>
      </w:r>
      <w:r w:rsidRPr="00D45EEB">
        <w:rPr>
          <w:sz w:val="20"/>
          <w:szCs w:val="20"/>
        </w:rPr>
        <w:t xml:space="preserve"> in </w:t>
      </w:r>
      <w:proofErr w:type="spellStart"/>
      <w:r w:rsidRPr="00D45EEB">
        <w:rPr>
          <w:sz w:val="20"/>
          <w:szCs w:val="20"/>
        </w:rPr>
        <w:t>Wonokusumo</w:t>
      </w:r>
      <w:proofErr w:type="spellEnd"/>
      <w:r w:rsidRPr="00D45EEB">
        <w:rPr>
          <w:sz w:val="20"/>
          <w:szCs w:val="20"/>
        </w:rPr>
        <w:t xml:space="preserve"> Village has insufficient knowledge about nutritional fulfillment. Most of the mothers did not pay attention to the age of the toddler and the type of food they were given. Most mothers provide the same food for toddlers with other family members. So that in refusing food, mothers of toddlers do not pay attention to the needs and nutritional status of children </w:t>
      </w:r>
      <w:bookmarkStart w:id="7" w:name="_Hlk56948771"/>
      <w:bookmarkEnd w:id="7"/>
      <w:r w:rsidR="00331F3D">
        <w:rPr>
          <w:sz w:val="20"/>
          <w:szCs w:val="20"/>
        </w:rPr>
        <w:fldChar w:fldCharType="begin" w:fldLock="1"/>
      </w:r>
      <w:r w:rsidR="00CC3B49">
        <w:rPr>
          <w:sz w:val="20"/>
          <w:szCs w:val="20"/>
        </w:rPr>
        <w:instrText>ADDIN CSL_CITATION {"citationItems":[{"id":"ITEM-1","itemData":{"DOI":"10.20473/mgi.v13i2.176","author":[{"dropping-particle":"","family":"Rachmayanti","given":"Riris Diana","non-dropping-particle":"","parse-names":false,"suffix":""}],"id":"ITEM-1","issue":"2018","issued":{"date-parts":[["2017"]]},"page":"176-182","title":"Pengenalan Program Kadarzi Di Kelurahan","type":"article-journal"},"uris":["http://www.mendeley.com/documents/?uuid=0db51f75-d9fd-4791-8d78-a69db870c33c"]}],"mendeley":{"formattedCitation":"(Rachmayanti, 2017)","plainTextFormattedCitation":"(Rachmayanti, 2017)","previouslyFormattedCitation":"(Rachmayanti, 2017)"},"properties":{"noteIndex":0},"schema":"https://github.com/citation-style-language/schema/raw/master/csl-citation.json"}</w:instrText>
      </w:r>
      <w:r w:rsidR="00331F3D">
        <w:rPr>
          <w:sz w:val="20"/>
          <w:szCs w:val="20"/>
        </w:rPr>
        <w:fldChar w:fldCharType="separate"/>
      </w:r>
      <w:r w:rsidR="00331F3D" w:rsidRPr="00331F3D">
        <w:rPr>
          <w:noProof/>
          <w:sz w:val="20"/>
          <w:szCs w:val="20"/>
        </w:rPr>
        <w:t>(Rachmayanti, 2017)</w:t>
      </w:r>
      <w:r w:rsidR="00331F3D">
        <w:rPr>
          <w:sz w:val="20"/>
          <w:szCs w:val="20"/>
        </w:rPr>
        <w:fldChar w:fldCharType="end"/>
      </w:r>
    </w:p>
    <w:p w14:paraId="7BC6872F" w14:textId="6F3D6DBC" w:rsidR="007F2196" w:rsidRPr="00D45EEB" w:rsidRDefault="00D45EEB" w:rsidP="00ED5751">
      <w:pPr>
        <w:ind w:firstLine="567"/>
        <w:jc w:val="both"/>
        <w:rPr>
          <w:sz w:val="20"/>
          <w:szCs w:val="20"/>
        </w:rPr>
      </w:pPr>
      <w:r w:rsidRPr="00D45EEB">
        <w:rPr>
          <w:sz w:val="20"/>
          <w:szCs w:val="20"/>
        </w:rPr>
        <w:t xml:space="preserve">Based on the factors that cause problems with the occurrence of children under the red line, this study analyzes the problems / symptoms and preventive measures for children under the red line in the </w:t>
      </w:r>
      <w:proofErr w:type="spellStart"/>
      <w:r w:rsidRPr="00D45EEB">
        <w:rPr>
          <w:sz w:val="20"/>
          <w:szCs w:val="20"/>
        </w:rPr>
        <w:t>Wonokusumo</w:t>
      </w:r>
      <w:proofErr w:type="spellEnd"/>
      <w:r w:rsidRPr="00D45EEB">
        <w:rPr>
          <w:sz w:val="20"/>
          <w:szCs w:val="20"/>
        </w:rPr>
        <w:t xml:space="preserve"> Health Center in Surabaya.</w:t>
      </w:r>
    </w:p>
    <w:p w14:paraId="7935FABF" w14:textId="77777777" w:rsidR="00D46BD2" w:rsidRPr="00D45EEB" w:rsidRDefault="00D46BD2" w:rsidP="00ED5751">
      <w:pPr>
        <w:ind w:firstLine="567"/>
        <w:jc w:val="both"/>
        <w:rPr>
          <w:sz w:val="20"/>
          <w:szCs w:val="20"/>
        </w:rPr>
      </w:pPr>
    </w:p>
    <w:p w14:paraId="47DE063E" w14:textId="77777777" w:rsidR="00D46BD2" w:rsidRPr="00D45EEB" w:rsidRDefault="00D46BD2" w:rsidP="00D46BD2">
      <w:pPr>
        <w:autoSpaceDE w:val="0"/>
        <w:autoSpaceDN w:val="0"/>
        <w:adjustRightInd w:val="0"/>
        <w:jc w:val="both"/>
        <w:rPr>
          <w:b/>
          <w:sz w:val="20"/>
          <w:szCs w:val="20"/>
        </w:rPr>
      </w:pPr>
      <w:r w:rsidRPr="00D45EEB">
        <w:rPr>
          <w:b/>
          <w:sz w:val="20"/>
          <w:szCs w:val="20"/>
        </w:rPr>
        <w:t>METHOD</w:t>
      </w:r>
    </w:p>
    <w:p w14:paraId="66837CFB" w14:textId="77777777" w:rsidR="00DD19D4" w:rsidRPr="00D45EEB" w:rsidRDefault="00DD19D4" w:rsidP="00DD19D4">
      <w:pPr>
        <w:autoSpaceDE w:val="0"/>
        <w:autoSpaceDN w:val="0"/>
        <w:adjustRightInd w:val="0"/>
        <w:jc w:val="both"/>
        <w:rPr>
          <w:b/>
          <w:sz w:val="20"/>
          <w:szCs w:val="20"/>
        </w:rPr>
      </w:pPr>
    </w:p>
    <w:p w14:paraId="3A772F89" w14:textId="7E1B8E03" w:rsidR="00D45EEB" w:rsidRPr="00D45EEB" w:rsidRDefault="00D45EEB" w:rsidP="00ED5751">
      <w:pPr>
        <w:ind w:firstLine="567"/>
        <w:jc w:val="both"/>
        <w:rPr>
          <w:sz w:val="20"/>
          <w:szCs w:val="20"/>
        </w:rPr>
      </w:pPr>
      <w:r w:rsidRPr="00D45EEB">
        <w:rPr>
          <w:sz w:val="20"/>
          <w:szCs w:val="20"/>
        </w:rPr>
        <w:t xml:space="preserve">This research is observational because with the consideration that it does not provide treatment using a cross sectional approach. The use of this approach is because the independent variable and the dependent variable are assessed stimulant at one time, so there is no follow-up. Not all research subjects must be observed on the same day or at the same time, but both the independent variable and the dependent variable are scored only once </w:t>
      </w:r>
      <w:bookmarkStart w:id="8" w:name="_Hlk56948790"/>
      <w:bookmarkEnd w:id="8"/>
      <w:r w:rsidR="00CC3B49">
        <w:rPr>
          <w:sz w:val="20"/>
          <w:szCs w:val="20"/>
        </w:rPr>
        <w:fldChar w:fldCharType="begin" w:fldLock="1"/>
      </w:r>
      <w:r w:rsidR="002151F5">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approach.","author":[{"dropping-particle":"","family":"Masturoh, Imas., T. Nauri","given":"Anggita","non-dropping-particle":"","parse-names":false,"suffix":""}],"id":"ITEM-1","issued":{"date-parts":[["2018"]]},"title":"Metodologi Penelitian Kesehatan","type":"book"},"uris":["http://www.mendeley.com/documents/?uuid=24c1106a-57bc-4bff-aead-276e83df8c57"]}],"mendeley":{"formattedCitation":"(Masturoh, Imas., T. Nauri, 2018)","plainTextFormattedCitation":"(Masturoh, Imas., T. Nauri, 2018)","previouslyFormattedCitation":"(Masturoh, Imas., T. Nauri, 2018)"},"properties":{"noteIndex":0},"schema":"https://github.com/citation-style-language/schema/raw/master/csl-citation.json"}</w:instrText>
      </w:r>
      <w:r w:rsidR="00CC3B49">
        <w:rPr>
          <w:sz w:val="20"/>
          <w:szCs w:val="20"/>
        </w:rPr>
        <w:fldChar w:fldCharType="separate"/>
      </w:r>
      <w:r w:rsidR="00CC3B49" w:rsidRPr="00CC3B49">
        <w:rPr>
          <w:noProof/>
          <w:sz w:val="20"/>
          <w:szCs w:val="20"/>
        </w:rPr>
        <w:t>(Masturoh, Imas., T. Nauri, 2018)</w:t>
      </w:r>
      <w:r w:rsidR="00CC3B49">
        <w:rPr>
          <w:sz w:val="20"/>
          <w:szCs w:val="20"/>
        </w:rPr>
        <w:fldChar w:fldCharType="end"/>
      </w:r>
      <w:r w:rsidR="00CC3B49">
        <w:rPr>
          <w:sz w:val="20"/>
          <w:szCs w:val="20"/>
        </w:rPr>
        <w:t>.</w:t>
      </w:r>
    </w:p>
    <w:p w14:paraId="059F1453" w14:textId="15658131" w:rsidR="00D45EEB" w:rsidRPr="00D45EEB" w:rsidRDefault="009A033F" w:rsidP="00ED5751">
      <w:pPr>
        <w:ind w:firstLine="567"/>
        <w:jc w:val="both"/>
        <w:rPr>
          <w:sz w:val="20"/>
          <w:szCs w:val="20"/>
        </w:rPr>
      </w:pPr>
      <w:r w:rsidRPr="009A033F">
        <w:rPr>
          <w:sz w:val="20"/>
          <w:szCs w:val="20"/>
        </w:rPr>
        <w:t xml:space="preserve">The </w:t>
      </w:r>
      <w:proofErr w:type="gramStart"/>
      <w:r w:rsidRPr="009A033F">
        <w:rPr>
          <w:sz w:val="20"/>
          <w:szCs w:val="20"/>
        </w:rPr>
        <w:t>population in this study were</w:t>
      </w:r>
      <w:proofErr w:type="gramEnd"/>
      <w:r w:rsidRPr="009A033F">
        <w:rPr>
          <w:sz w:val="20"/>
          <w:szCs w:val="20"/>
        </w:rPr>
        <w:t xml:space="preserve"> all toddlers aged 12-24 months with a total of 691 toddlers and 31 Below Red Line toddlers, and the sampling technique to be taken in this study was Simple Random Sampling. So that a sample of 53 toddlers, 38 toddlers are good nutrition, 5 toddlers are poor nutrition (yellow line), and 10 toddlers are severe nutrition (red line), aged 12-24 months was obtained in the working area of the </w:t>
      </w:r>
      <w:proofErr w:type="spellStart"/>
      <w:r w:rsidRPr="009A033F">
        <w:rPr>
          <w:sz w:val="20"/>
          <w:szCs w:val="20"/>
        </w:rPr>
        <w:t>Wonokusumo</w:t>
      </w:r>
      <w:proofErr w:type="spellEnd"/>
      <w:r w:rsidRPr="009A033F">
        <w:rPr>
          <w:sz w:val="20"/>
          <w:szCs w:val="20"/>
        </w:rPr>
        <w:t xml:space="preserve"> Health Center. The independent variable in this study is the mother's behavior of Perceived Susceptibility, Perceived Severity, Perceived Benefit, and Perceived Barrier, while the dependent variable in this study is the behavior of mothers in preventing children under the Red Line.</w:t>
      </w:r>
    </w:p>
    <w:p w14:paraId="42DB6408" w14:textId="77777777" w:rsidR="00D45EEB" w:rsidRPr="00D45EEB" w:rsidRDefault="00D45EEB" w:rsidP="00ED5751">
      <w:pPr>
        <w:ind w:firstLine="567"/>
        <w:jc w:val="both"/>
        <w:rPr>
          <w:sz w:val="20"/>
          <w:szCs w:val="20"/>
        </w:rPr>
      </w:pPr>
      <w:r w:rsidRPr="00D45EEB">
        <w:rPr>
          <w:sz w:val="20"/>
          <w:szCs w:val="20"/>
        </w:rPr>
        <w:t xml:space="preserve">Primary data were obtained through interviews with the mothers of the toddlers during </w:t>
      </w:r>
      <w:proofErr w:type="spellStart"/>
      <w:r w:rsidRPr="00D45EEB">
        <w:rPr>
          <w:sz w:val="20"/>
          <w:szCs w:val="20"/>
        </w:rPr>
        <w:t>posyandu</w:t>
      </w:r>
      <w:proofErr w:type="spellEnd"/>
      <w:r w:rsidRPr="00D45EEB">
        <w:rPr>
          <w:sz w:val="20"/>
          <w:szCs w:val="20"/>
        </w:rPr>
        <w:t xml:space="preserve"> activities or visits to respondents' homes using questionnaires. Secondary data were obtained from report data held by the City Health Office and </w:t>
      </w:r>
      <w:proofErr w:type="spellStart"/>
      <w:r w:rsidRPr="00D45EEB">
        <w:rPr>
          <w:sz w:val="20"/>
          <w:szCs w:val="20"/>
        </w:rPr>
        <w:t>Puskesmas</w:t>
      </w:r>
      <w:proofErr w:type="spellEnd"/>
      <w:r w:rsidRPr="00D45EEB">
        <w:rPr>
          <w:sz w:val="20"/>
          <w:szCs w:val="20"/>
        </w:rPr>
        <w:t xml:space="preserve">. Data regarding the general description of the research location were obtained from the monographs of the work areas in each </w:t>
      </w:r>
      <w:proofErr w:type="spellStart"/>
      <w:r w:rsidRPr="00D45EEB">
        <w:rPr>
          <w:sz w:val="20"/>
          <w:szCs w:val="20"/>
        </w:rPr>
        <w:t>puskesmas</w:t>
      </w:r>
      <w:proofErr w:type="spellEnd"/>
      <w:r w:rsidRPr="00D45EEB">
        <w:rPr>
          <w:sz w:val="20"/>
          <w:szCs w:val="20"/>
        </w:rPr>
        <w:t>.</w:t>
      </w:r>
    </w:p>
    <w:p w14:paraId="50EF1F37" w14:textId="084E0C17" w:rsidR="00D46BD2" w:rsidRPr="00D45EEB" w:rsidRDefault="00D45EEB" w:rsidP="00ED5751">
      <w:pPr>
        <w:widowControl w:val="0"/>
        <w:autoSpaceDE w:val="0"/>
        <w:autoSpaceDN w:val="0"/>
        <w:adjustRightInd w:val="0"/>
        <w:ind w:firstLine="567"/>
        <w:jc w:val="both"/>
        <w:rPr>
          <w:sz w:val="20"/>
          <w:szCs w:val="20"/>
        </w:rPr>
      </w:pPr>
      <w:r w:rsidRPr="00D45EEB">
        <w:rPr>
          <w:sz w:val="20"/>
          <w:szCs w:val="20"/>
        </w:rPr>
        <w:t xml:space="preserve">After the data is collected, the data is processed either manually or using a computer using the Statistical for the Social Sciences (SPSS) program. Then </w:t>
      </w:r>
      <w:proofErr w:type="spellStart"/>
      <w:r w:rsidRPr="00D45EEB">
        <w:rPr>
          <w:sz w:val="20"/>
          <w:szCs w:val="20"/>
        </w:rPr>
        <w:t>univariate</w:t>
      </w:r>
      <w:proofErr w:type="spellEnd"/>
      <w:r w:rsidRPr="00D45EEB">
        <w:rPr>
          <w:sz w:val="20"/>
          <w:szCs w:val="20"/>
        </w:rPr>
        <w:t xml:space="preserve"> analysis was carried out, namely analyzing each existing research variable descriptively which was presented by calculating the frequency distribution. After that, the data were analyzed and tested </w:t>
      </w:r>
      <w:proofErr w:type="spellStart"/>
      <w:r w:rsidRPr="00D45EEB">
        <w:rPr>
          <w:sz w:val="20"/>
          <w:szCs w:val="20"/>
        </w:rPr>
        <w:t>bivariately</w:t>
      </w:r>
      <w:proofErr w:type="spellEnd"/>
      <w:r w:rsidRPr="00D45EEB">
        <w:rPr>
          <w:sz w:val="20"/>
          <w:szCs w:val="20"/>
        </w:rPr>
        <w:t xml:space="preserve"> on the two variables to be compared using statistical tests </w:t>
      </w:r>
      <w:r w:rsidR="00CC3B49">
        <w:rPr>
          <w:sz w:val="20"/>
          <w:szCs w:val="20"/>
        </w:rPr>
        <w:fldChar w:fldCharType="begin" w:fldLock="1"/>
      </w:r>
      <w:r w:rsidR="00CC3B49">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approach.","author":[{"dropping-particle":"","family":"Masturoh, Imas., T. Nauri","given":"Anggita","non-dropping-particle":"","parse-names":false,"suffix":""}],"id":"ITEM-1","issued":{"date-parts":[["2018"]]},"title":"Metodologi Penelitian Kesehatan","type":"book"},"uris":["http://www.mendeley.com/documents/?uuid=24c1106a-57bc-4bff-aead-276e83df8c57"]}],"mendeley":{"formattedCitation":"(Masturoh, Imas., T. Nauri, 2018)","plainTextFormattedCitation":"(Masturoh, Imas., T. Nauri, 2018)","previouslyFormattedCitation":"(Masturoh, Imas., T. Nauri, 2018)"},"properties":{"noteIndex":0},"schema":"https://github.com/citation-style-language/schema/raw/master/csl-citation.json"}</w:instrText>
      </w:r>
      <w:r w:rsidR="00CC3B49">
        <w:rPr>
          <w:sz w:val="20"/>
          <w:szCs w:val="20"/>
        </w:rPr>
        <w:fldChar w:fldCharType="separate"/>
      </w:r>
      <w:r w:rsidR="00CC3B49" w:rsidRPr="00CC3B49">
        <w:rPr>
          <w:noProof/>
          <w:sz w:val="20"/>
          <w:szCs w:val="20"/>
        </w:rPr>
        <w:t>(Masturoh, Imas., T. Nauri, 2018)</w:t>
      </w:r>
      <w:r w:rsidR="00CC3B49">
        <w:rPr>
          <w:sz w:val="20"/>
          <w:szCs w:val="20"/>
        </w:rPr>
        <w:fldChar w:fldCharType="end"/>
      </w:r>
      <w:r w:rsidR="00CC3B49">
        <w:rPr>
          <w:sz w:val="20"/>
          <w:szCs w:val="20"/>
        </w:rPr>
        <w:t>.</w:t>
      </w:r>
    </w:p>
    <w:p w14:paraId="1102CA41" w14:textId="77777777" w:rsidR="006C757D" w:rsidRPr="00D45EEB" w:rsidRDefault="006C757D" w:rsidP="00ED5751">
      <w:pPr>
        <w:widowControl w:val="0"/>
        <w:autoSpaceDE w:val="0"/>
        <w:autoSpaceDN w:val="0"/>
        <w:adjustRightInd w:val="0"/>
        <w:ind w:firstLine="567"/>
        <w:jc w:val="both"/>
        <w:rPr>
          <w:b/>
          <w:sz w:val="20"/>
          <w:szCs w:val="20"/>
        </w:rPr>
      </w:pPr>
    </w:p>
    <w:p w14:paraId="02F8D323" w14:textId="2C4B61F6" w:rsidR="000650AA" w:rsidRDefault="00F50129" w:rsidP="00DD19D4">
      <w:pPr>
        <w:widowControl w:val="0"/>
        <w:autoSpaceDE w:val="0"/>
        <w:autoSpaceDN w:val="0"/>
        <w:adjustRightInd w:val="0"/>
        <w:jc w:val="both"/>
        <w:rPr>
          <w:b/>
          <w:sz w:val="20"/>
          <w:szCs w:val="20"/>
        </w:rPr>
      </w:pPr>
      <w:r w:rsidRPr="00D45EEB">
        <w:rPr>
          <w:b/>
          <w:sz w:val="20"/>
          <w:szCs w:val="20"/>
        </w:rPr>
        <w:lastRenderedPageBreak/>
        <w:t xml:space="preserve">RESULT </w:t>
      </w:r>
    </w:p>
    <w:p w14:paraId="2540D1D6" w14:textId="77777777" w:rsidR="009A033F" w:rsidRPr="00D45EEB" w:rsidRDefault="009A033F" w:rsidP="00B85BD9">
      <w:pPr>
        <w:rPr>
          <w:sz w:val="20"/>
          <w:szCs w:val="20"/>
        </w:rPr>
      </w:pPr>
      <w:proofErr w:type="gramStart"/>
      <w:r w:rsidRPr="00B85BD9">
        <w:rPr>
          <w:b/>
          <w:sz w:val="20"/>
          <w:szCs w:val="20"/>
        </w:rPr>
        <w:t>Table 1</w:t>
      </w:r>
      <w:r w:rsidRPr="00D45EEB">
        <w:rPr>
          <w:sz w:val="20"/>
          <w:szCs w:val="20"/>
        </w:rPr>
        <w:t>.</w:t>
      </w:r>
      <w:proofErr w:type="gramEnd"/>
      <w:r w:rsidRPr="00D45EEB">
        <w:rPr>
          <w:sz w:val="20"/>
          <w:szCs w:val="20"/>
        </w:rPr>
        <w:t xml:space="preserve"> Distribution of Research Subject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1"/>
        <w:gridCol w:w="2409"/>
      </w:tblGrid>
      <w:tr w:rsidR="009A033F" w:rsidRPr="00D45EEB" w14:paraId="038FC47C" w14:textId="77777777" w:rsidTr="00B85BD9">
        <w:tc>
          <w:tcPr>
            <w:tcW w:w="3510" w:type="dxa"/>
            <w:tcBorders>
              <w:top w:val="single" w:sz="4" w:space="0" w:color="auto"/>
              <w:bottom w:val="single" w:sz="4" w:space="0" w:color="auto"/>
            </w:tcBorders>
            <w:vAlign w:val="center"/>
          </w:tcPr>
          <w:p w14:paraId="42BEB750" w14:textId="77777777" w:rsidR="009A033F" w:rsidRPr="00D45EEB" w:rsidRDefault="009A033F" w:rsidP="00986067">
            <w:pPr>
              <w:jc w:val="both"/>
              <w:rPr>
                <w:b/>
                <w:sz w:val="20"/>
                <w:szCs w:val="20"/>
              </w:rPr>
            </w:pPr>
            <w:r w:rsidRPr="00D45EEB">
              <w:rPr>
                <w:b/>
                <w:sz w:val="20"/>
                <w:szCs w:val="20"/>
              </w:rPr>
              <w:t>Characteristics</w:t>
            </w:r>
          </w:p>
        </w:tc>
        <w:tc>
          <w:tcPr>
            <w:tcW w:w="3261" w:type="dxa"/>
            <w:tcBorders>
              <w:top w:val="single" w:sz="4" w:space="0" w:color="auto"/>
              <w:bottom w:val="single" w:sz="4" w:space="0" w:color="auto"/>
            </w:tcBorders>
            <w:vAlign w:val="center"/>
          </w:tcPr>
          <w:p w14:paraId="298B5739" w14:textId="77777777" w:rsidR="009A033F" w:rsidRPr="00D45EEB" w:rsidRDefault="009A033F" w:rsidP="00986067">
            <w:pPr>
              <w:jc w:val="both"/>
              <w:rPr>
                <w:b/>
                <w:sz w:val="20"/>
                <w:szCs w:val="20"/>
              </w:rPr>
            </w:pPr>
            <w:r w:rsidRPr="00D45EEB">
              <w:rPr>
                <w:b/>
                <w:sz w:val="20"/>
                <w:szCs w:val="20"/>
              </w:rPr>
              <w:t>N</w:t>
            </w:r>
          </w:p>
        </w:tc>
        <w:tc>
          <w:tcPr>
            <w:tcW w:w="2409" w:type="dxa"/>
            <w:tcBorders>
              <w:top w:val="single" w:sz="4" w:space="0" w:color="auto"/>
              <w:bottom w:val="single" w:sz="4" w:space="0" w:color="auto"/>
            </w:tcBorders>
            <w:vAlign w:val="center"/>
          </w:tcPr>
          <w:p w14:paraId="619DF368" w14:textId="77777777" w:rsidR="009A033F" w:rsidRPr="00D45EEB" w:rsidRDefault="009A033F" w:rsidP="00986067">
            <w:pPr>
              <w:jc w:val="both"/>
              <w:rPr>
                <w:b/>
                <w:sz w:val="20"/>
                <w:szCs w:val="20"/>
              </w:rPr>
            </w:pPr>
            <w:r w:rsidRPr="00D45EEB">
              <w:rPr>
                <w:b/>
                <w:sz w:val="20"/>
                <w:szCs w:val="20"/>
              </w:rPr>
              <w:t>%</w:t>
            </w:r>
          </w:p>
        </w:tc>
      </w:tr>
      <w:tr w:rsidR="009A033F" w:rsidRPr="00D45EEB" w14:paraId="30BE02C6" w14:textId="77777777" w:rsidTr="00B85BD9">
        <w:tc>
          <w:tcPr>
            <w:tcW w:w="3510" w:type="dxa"/>
            <w:tcBorders>
              <w:top w:val="single" w:sz="4" w:space="0" w:color="auto"/>
              <w:bottom w:val="single" w:sz="4" w:space="0" w:color="auto"/>
            </w:tcBorders>
            <w:vAlign w:val="center"/>
          </w:tcPr>
          <w:p w14:paraId="3D718B82" w14:textId="77777777" w:rsidR="009A033F" w:rsidRPr="00D45EEB" w:rsidRDefault="009A033F" w:rsidP="00986067">
            <w:pPr>
              <w:jc w:val="both"/>
              <w:rPr>
                <w:b/>
                <w:sz w:val="20"/>
                <w:szCs w:val="20"/>
              </w:rPr>
            </w:pPr>
            <w:r w:rsidRPr="00D45EEB">
              <w:rPr>
                <w:b/>
                <w:sz w:val="20"/>
                <w:szCs w:val="20"/>
              </w:rPr>
              <w:t xml:space="preserve">Age </w:t>
            </w:r>
          </w:p>
        </w:tc>
        <w:tc>
          <w:tcPr>
            <w:tcW w:w="3261" w:type="dxa"/>
            <w:tcBorders>
              <w:top w:val="single" w:sz="4" w:space="0" w:color="auto"/>
              <w:bottom w:val="single" w:sz="4" w:space="0" w:color="auto"/>
            </w:tcBorders>
            <w:vAlign w:val="center"/>
          </w:tcPr>
          <w:p w14:paraId="4801D87C" w14:textId="77777777" w:rsidR="009A033F" w:rsidRPr="00D45EEB" w:rsidRDefault="009A033F" w:rsidP="00986067">
            <w:pPr>
              <w:jc w:val="both"/>
              <w:rPr>
                <w:sz w:val="20"/>
                <w:szCs w:val="20"/>
              </w:rPr>
            </w:pPr>
          </w:p>
        </w:tc>
        <w:tc>
          <w:tcPr>
            <w:tcW w:w="2409" w:type="dxa"/>
            <w:tcBorders>
              <w:top w:val="single" w:sz="4" w:space="0" w:color="auto"/>
              <w:bottom w:val="single" w:sz="4" w:space="0" w:color="auto"/>
            </w:tcBorders>
            <w:vAlign w:val="center"/>
          </w:tcPr>
          <w:p w14:paraId="09DAFA39" w14:textId="77777777" w:rsidR="009A033F" w:rsidRPr="00D45EEB" w:rsidRDefault="009A033F" w:rsidP="00986067">
            <w:pPr>
              <w:jc w:val="both"/>
              <w:rPr>
                <w:sz w:val="20"/>
                <w:szCs w:val="20"/>
              </w:rPr>
            </w:pPr>
          </w:p>
        </w:tc>
      </w:tr>
      <w:tr w:rsidR="009A033F" w:rsidRPr="00D45EEB" w14:paraId="46EBD705" w14:textId="77777777" w:rsidTr="00B85BD9">
        <w:tc>
          <w:tcPr>
            <w:tcW w:w="3510" w:type="dxa"/>
            <w:tcBorders>
              <w:top w:val="single" w:sz="4" w:space="0" w:color="auto"/>
            </w:tcBorders>
            <w:vAlign w:val="center"/>
          </w:tcPr>
          <w:p w14:paraId="047D23E6" w14:textId="77777777" w:rsidR="009A033F" w:rsidRPr="00D45EEB" w:rsidRDefault="009A033F" w:rsidP="00986067">
            <w:pPr>
              <w:jc w:val="both"/>
              <w:rPr>
                <w:sz w:val="20"/>
                <w:szCs w:val="20"/>
              </w:rPr>
            </w:pPr>
            <w:r w:rsidRPr="00D45EEB">
              <w:rPr>
                <w:sz w:val="20"/>
                <w:szCs w:val="20"/>
              </w:rPr>
              <w:t>21-30</w:t>
            </w:r>
          </w:p>
        </w:tc>
        <w:tc>
          <w:tcPr>
            <w:tcW w:w="3261" w:type="dxa"/>
            <w:tcBorders>
              <w:top w:val="single" w:sz="4" w:space="0" w:color="auto"/>
            </w:tcBorders>
            <w:vAlign w:val="center"/>
          </w:tcPr>
          <w:p w14:paraId="4FD6EA59" w14:textId="77777777" w:rsidR="009A033F" w:rsidRPr="00D45EEB" w:rsidRDefault="009A033F" w:rsidP="00986067">
            <w:pPr>
              <w:jc w:val="both"/>
              <w:rPr>
                <w:sz w:val="20"/>
                <w:szCs w:val="20"/>
              </w:rPr>
            </w:pPr>
            <w:r w:rsidRPr="00D45EEB">
              <w:rPr>
                <w:sz w:val="20"/>
                <w:szCs w:val="20"/>
              </w:rPr>
              <w:t>37</w:t>
            </w:r>
          </w:p>
        </w:tc>
        <w:tc>
          <w:tcPr>
            <w:tcW w:w="2409" w:type="dxa"/>
            <w:tcBorders>
              <w:top w:val="single" w:sz="4" w:space="0" w:color="auto"/>
            </w:tcBorders>
            <w:vAlign w:val="center"/>
          </w:tcPr>
          <w:p w14:paraId="02E9303A" w14:textId="77777777" w:rsidR="009A033F" w:rsidRPr="00D45EEB" w:rsidRDefault="009A033F" w:rsidP="00986067">
            <w:pPr>
              <w:jc w:val="both"/>
              <w:rPr>
                <w:sz w:val="20"/>
                <w:szCs w:val="20"/>
              </w:rPr>
            </w:pPr>
            <w:r w:rsidRPr="00D45EEB">
              <w:rPr>
                <w:sz w:val="20"/>
                <w:szCs w:val="20"/>
              </w:rPr>
              <w:t>69.8</w:t>
            </w:r>
          </w:p>
        </w:tc>
      </w:tr>
      <w:tr w:rsidR="009A033F" w:rsidRPr="00D45EEB" w14:paraId="7A0DE89A" w14:textId="77777777" w:rsidTr="00B85BD9">
        <w:tc>
          <w:tcPr>
            <w:tcW w:w="3510" w:type="dxa"/>
            <w:vAlign w:val="center"/>
          </w:tcPr>
          <w:p w14:paraId="60A4AC44" w14:textId="77777777" w:rsidR="009A033F" w:rsidRPr="00D45EEB" w:rsidRDefault="009A033F" w:rsidP="00986067">
            <w:pPr>
              <w:jc w:val="both"/>
              <w:rPr>
                <w:sz w:val="20"/>
                <w:szCs w:val="20"/>
              </w:rPr>
            </w:pPr>
            <w:r w:rsidRPr="00D45EEB">
              <w:rPr>
                <w:sz w:val="20"/>
                <w:szCs w:val="20"/>
              </w:rPr>
              <w:t>31-40</w:t>
            </w:r>
          </w:p>
        </w:tc>
        <w:tc>
          <w:tcPr>
            <w:tcW w:w="3261" w:type="dxa"/>
            <w:vAlign w:val="center"/>
          </w:tcPr>
          <w:p w14:paraId="28718831" w14:textId="77777777" w:rsidR="009A033F" w:rsidRPr="00D45EEB" w:rsidRDefault="009A033F" w:rsidP="00986067">
            <w:pPr>
              <w:jc w:val="both"/>
              <w:rPr>
                <w:sz w:val="20"/>
                <w:szCs w:val="20"/>
              </w:rPr>
            </w:pPr>
            <w:r w:rsidRPr="00D45EEB">
              <w:rPr>
                <w:sz w:val="20"/>
                <w:szCs w:val="20"/>
              </w:rPr>
              <w:t>15</w:t>
            </w:r>
          </w:p>
        </w:tc>
        <w:tc>
          <w:tcPr>
            <w:tcW w:w="2409" w:type="dxa"/>
            <w:vAlign w:val="center"/>
          </w:tcPr>
          <w:p w14:paraId="26829153" w14:textId="77777777" w:rsidR="009A033F" w:rsidRPr="00D45EEB" w:rsidRDefault="009A033F" w:rsidP="00986067">
            <w:pPr>
              <w:jc w:val="both"/>
              <w:rPr>
                <w:sz w:val="20"/>
                <w:szCs w:val="20"/>
              </w:rPr>
            </w:pPr>
            <w:r w:rsidRPr="00D45EEB">
              <w:rPr>
                <w:sz w:val="20"/>
                <w:szCs w:val="20"/>
              </w:rPr>
              <w:t>28.3</w:t>
            </w:r>
          </w:p>
        </w:tc>
      </w:tr>
      <w:tr w:rsidR="009A033F" w:rsidRPr="00D45EEB" w14:paraId="1A39B638" w14:textId="77777777" w:rsidTr="00B85BD9">
        <w:tc>
          <w:tcPr>
            <w:tcW w:w="3510" w:type="dxa"/>
            <w:tcBorders>
              <w:bottom w:val="single" w:sz="4" w:space="0" w:color="auto"/>
            </w:tcBorders>
            <w:vAlign w:val="center"/>
          </w:tcPr>
          <w:p w14:paraId="02A158C8" w14:textId="77777777" w:rsidR="009A033F" w:rsidRPr="00D45EEB" w:rsidRDefault="009A033F" w:rsidP="00986067">
            <w:pPr>
              <w:jc w:val="both"/>
              <w:rPr>
                <w:sz w:val="20"/>
                <w:szCs w:val="20"/>
              </w:rPr>
            </w:pPr>
            <w:r w:rsidRPr="00D45EEB">
              <w:rPr>
                <w:sz w:val="20"/>
                <w:szCs w:val="20"/>
              </w:rPr>
              <w:t>&gt;40</w:t>
            </w:r>
          </w:p>
        </w:tc>
        <w:tc>
          <w:tcPr>
            <w:tcW w:w="3261" w:type="dxa"/>
            <w:tcBorders>
              <w:bottom w:val="single" w:sz="4" w:space="0" w:color="auto"/>
            </w:tcBorders>
            <w:vAlign w:val="center"/>
          </w:tcPr>
          <w:p w14:paraId="02D7954D" w14:textId="77777777" w:rsidR="009A033F" w:rsidRPr="00D45EEB" w:rsidRDefault="009A033F" w:rsidP="00986067">
            <w:pPr>
              <w:jc w:val="both"/>
              <w:rPr>
                <w:sz w:val="20"/>
                <w:szCs w:val="20"/>
              </w:rPr>
            </w:pPr>
            <w:r w:rsidRPr="00D45EEB">
              <w:rPr>
                <w:sz w:val="20"/>
                <w:szCs w:val="20"/>
              </w:rPr>
              <w:t>1</w:t>
            </w:r>
          </w:p>
        </w:tc>
        <w:tc>
          <w:tcPr>
            <w:tcW w:w="2409" w:type="dxa"/>
            <w:tcBorders>
              <w:bottom w:val="single" w:sz="4" w:space="0" w:color="auto"/>
            </w:tcBorders>
            <w:vAlign w:val="center"/>
          </w:tcPr>
          <w:p w14:paraId="238757A2" w14:textId="77777777" w:rsidR="009A033F" w:rsidRPr="00D45EEB" w:rsidRDefault="009A033F" w:rsidP="00986067">
            <w:pPr>
              <w:jc w:val="both"/>
              <w:rPr>
                <w:sz w:val="20"/>
                <w:szCs w:val="20"/>
              </w:rPr>
            </w:pPr>
            <w:r w:rsidRPr="00D45EEB">
              <w:rPr>
                <w:sz w:val="20"/>
                <w:szCs w:val="20"/>
              </w:rPr>
              <w:t>1.9</w:t>
            </w:r>
          </w:p>
        </w:tc>
      </w:tr>
      <w:tr w:rsidR="009A033F" w:rsidRPr="00D45EEB" w14:paraId="5DB4FAC4" w14:textId="77777777" w:rsidTr="00B85BD9">
        <w:tc>
          <w:tcPr>
            <w:tcW w:w="3510" w:type="dxa"/>
            <w:tcBorders>
              <w:top w:val="single" w:sz="4" w:space="0" w:color="auto"/>
              <w:bottom w:val="single" w:sz="4" w:space="0" w:color="auto"/>
            </w:tcBorders>
            <w:vAlign w:val="center"/>
          </w:tcPr>
          <w:p w14:paraId="33104269" w14:textId="77777777" w:rsidR="009A033F" w:rsidRPr="00D45EEB" w:rsidRDefault="009A033F" w:rsidP="00986067">
            <w:pPr>
              <w:jc w:val="both"/>
              <w:rPr>
                <w:b/>
                <w:sz w:val="20"/>
                <w:szCs w:val="20"/>
              </w:rPr>
            </w:pPr>
            <w:r w:rsidRPr="00D45EEB">
              <w:rPr>
                <w:b/>
                <w:sz w:val="20"/>
                <w:szCs w:val="20"/>
              </w:rPr>
              <w:t xml:space="preserve">Occupation </w:t>
            </w:r>
          </w:p>
        </w:tc>
        <w:tc>
          <w:tcPr>
            <w:tcW w:w="3261" w:type="dxa"/>
            <w:tcBorders>
              <w:top w:val="single" w:sz="4" w:space="0" w:color="auto"/>
              <w:bottom w:val="single" w:sz="4" w:space="0" w:color="auto"/>
            </w:tcBorders>
            <w:vAlign w:val="center"/>
          </w:tcPr>
          <w:p w14:paraId="11D0753D" w14:textId="77777777" w:rsidR="009A033F" w:rsidRPr="00D45EEB" w:rsidRDefault="009A033F" w:rsidP="00986067">
            <w:pPr>
              <w:jc w:val="both"/>
              <w:rPr>
                <w:sz w:val="20"/>
                <w:szCs w:val="20"/>
              </w:rPr>
            </w:pPr>
          </w:p>
        </w:tc>
        <w:tc>
          <w:tcPr>
            <w:tcW w:w="2409" w:type="dxa"/>
            <w:tcBorders>
              <w:top w:val="single" w:sz="4" w:space="0" w:color="auto"/>
              <w:bottom w:val="single" w:sz="4" w:space="0" w:color="auto"/>
            </w:tcBorders>
            <w:vAlign w:val="center"/>
          </w:tcPr>
          <w:p w14:paraId="052E5664" w14:textId="77777777" w:rsidR="009A033F" w:rsidRPr="00D45EEB" w:rsidRDefault="009A033F" w:rsidP="00986067">
            <w:pPr>
              <w:jc w:val="both"/>
              <w:rPr>
                <w:sz w:val="20"/>
                <w:szCs w:val="20"/>
              </w:rPr>
            </w:pPr>
          </w:p>
        </w:tc>
      </w:tr>
      <w:tr w:rsidR="009A033F" w:rsidRPr="00D45EEB" w14:paraId="5829F7B7" w14:textId="77777777" w:rsidTr="00B85BD9">
        <w:tc>
          <w:tcPr>
            <w:tcW w:w="3510" w:type="dxa"/>
            <w:tcBorders>
              <w:top w:val="single" w:sz="4" w:space="0" w:color="auto"/>
            </w:tcBorders>
            <w:vAlign w:val="center"/>
          </w:tcPr>
          <w:p w14:paraId="03051323" w14:textId="77777777" w:rsidR="009A033F" w:rsidRPr="00D45EEB" w:rsidRDefault="009A033F" w:rsidP="00986067">
            <w:pPr>
              <w:jc w:val="both"/>
              <w:rPr>
                <w:sz w:val="20"/>
                <w:szCs w:val="20"/>
              </w:rPr>
            </w:pPr>
            <w:r w:rsidRPr="00D45EEB">
              <w:rPr>
                <w:sz w:val="20"/>
                <w:szCs w:val="20"/>
              </w:rPr>
              <w:t xml:space="preserve">Work </w:t>
            </w:r>
          </w:p>
        </w:tc>
        <w:tc>
          <w:tcPr>
            <w:tcW w:w="3261" w:type="dxa"/>
            <w:tcBorders>
              <w:top w:val="single" w:sz="4" w:space="0" w:color="auto"/>
            </w:tcBorders>
            <w:vAlign w:val="center"/>
          </w:tcPr>
          <w:p w14:paraId="74BBE8B3" w14:textId="77777777" w:rsidR="009A033F" w:rsidRPr="00D45EEB" w:rsidRDefault="009A033F" w:rsidP="00986067">
            <w:pPr>
              <w:jc w:val="both"/>
              <w:rPr>
                <w:sz w:val="20"/>
                <w:szCs w:val="20"/>
              </w:rPr>
            </w:pPr>
            <w:r w:rsidRPr="00D45EEB">
              <w:rPr>
                <w:sz w:val="20"/>
                <w:szCs w:val="20"/>
              </w:rPr>
              <w:t>10</w:t>
            </w:r>
          </w:p>
        </w:tc>
        <w:tc>
          <w:tcPr>
            <w:tcW w:w="2409" w:type="dxa"/>
            <w:tcBorders>
              <w:top w:val="single" w:sz="4" w:space="0" w:color="auto"/>
            </w:tcBorders>
            <w:vAlign w:val="center"/>
          </w:tcPr>
          <w:p w14:paraId="67DB03B4" w14:textId="77777777" w:rsidR="009A033F" w:rsidRPr="00D45EEB" w:rsidRDefault="009A033F" w:rsidP="00986067">
            <w:pPr>
              <w:jc w:val="both"/>
              <w:rPr>
                <w:sz w:val="20"/>
                <w:szCs w:val="20"/>
              </w:rPr>
            </w:pPr>
            <w:r w:rsidRPr="00D45EEB">
              <w:rPr>
                <w:sz w:val="20"/>
                <w:szCs w:val="20"/>
              </w:rPr>
              <w:t>18.9</w:t>
            </w:r>
          </w:p>
        </w:tc>
      </w:tr>
      <w:tr w:rsidR="009A033F" w:rsidRPr="00D45EEB" w14:paraId="0DC1B44A" w14:textId="77777777" w:rsidTr="00B85BD9">
        <w:tc>
          <w:tcPr>
            <w:tcW w:w="3510" w:type="dxa"/>
            <w:tcBorders>
              <w:bottom w:val="single" w:sz="4" w:space="0" w:color="auto"/>
            </w:tcBorders>
            <w:vAlign w:val="center"/>
          </w:tcPr>
          <w:p w14:paraId="5D1113D3" w14:textId="77777777" w:rsidR="009A033F" w:rsidRPr="00D45EEB" w:rsidRDefault="009A033F" w:rsidP="00986067">
            <w:pPr>
              <w:jc w:val="both"/>
              <w:rPr>
                <w:sz w:val="20"/>
                <w:szCs w:val="20"/>
              </w:rPr>
            </w:pPr>
            <w:r w:rsidRPr="00D45EEB">
              <w:rPr>
                <w:sz w:val="20"/>
                <w:szCs w:val="20"/>
              </w:rPr>
              <w:t>Not work</w:t>
            </w:r>
          </w:p>
        </w:tc>
        <w:tc>
          <w:tcPr>
            <w:tcW w:w="3261" w:type="dxa"/>
            <w:tcBorders>
              <w:bottom w:val="single" w:sz="4" w:space="0" w:color="auto"/>
            </w:tcBorders>
            <w:vAlign w:val="center"/>
          </w:tcPr>
          <w:p w14:paraId="73327884" w14:textId="77777777" w:rsidR="009A033F" w:rsidRPr="00D45EEB" w:rsidRDefault="009A033F" w:rsidP="00986067">
            <w:pPr>
              <w:jc w:val="both"/>
              <w:rPr>
                <w:sz w:val="20"/>
                <w:szCs w:val="20"/>
              </w:rPr>
            </w:pPr>
            <w:r w:rsidRPr="00D45EEB">
              <w:rPr>
                <w:sz w:val="20"/>
                <w:szCs w:val="20"/>
              </w:rPr>
              <w:t>43</w:t>
            </w:r>
          </w:p>
        </w:tc>
        <w:tc>
          <w:tcPr>
            <w:tcW w:w="2409" w:type="dxa"/>
            <w:tcBorders>
              <w:bottom w:val="single" w:sz="4" w:space="0" w:color="auto"/>
            </w:tcBorders>
            <w:vAlign w:val="center"/>
          </w:tcPr>
          <w:p w14:paraId="72464B3F" w14:textId="77777777" w:rsidR="009A033F" w:rsidRPr="00D45EEB" w:rsidRDefault="009A033F" w:rsidP="00986067">
            <w:pPr>
              <w:jc w:val="both"/>
              <w:rPr>
                <w:sz w:val="20"/>
                <w:szCs w:val="20"/>
              </w:rPr>
            </w:pPr>
            <w:r w:rsidRPr="00D45EEB">
              <w:rPr>
                <w:sz w:val="20"/>
                <w:szCs w:val="20"/>
              </w:rPr>
              <w:t>81.1</w:t>
            </w:r>
          </w:p>
        </w:tc>
      </w:tr>
      <w:tr w:rsidR="009A033F" w:rsidRPr="00D45EEB" w14:paraId="7629BF57" w14:textId="77777777" w:rsidTr="00B85BD9">
        <w:tc>
          <w:tcPr>
            <w:tcW w:w="3510" w:type="dxa"/>
            <w:tcBorders>
              <w:top w:val="single" w:sz="4" w:space="0" w:color="auto"/>
              <w:bottom w:val="single" w:sz="4" w:space="0" w:color="auto"/>
            </w:tcBorders>
            <w:vAlign w:val="center"/>
          </w:tcPr>
          <w:p w14:paraId="5B2E2CDC" w14:textId="77777777" w:rsidR="009A033F" w:rsidRPr="00D45EEB" w:rsidRDefault="009A033F" w:rsidP="00986067">
            <w:pPr>
              <w:jc w:val="both"/>
              <w:rPr>
                <w:b/>
                <w:sz w:val="20"/>
                <w:szCs w:val="20"/>
              </w:rPr>
            </w:pPr>
            <w:r w:rsidRPr="00D45EEB">
              <w:rPr>
                <w:b/>
                <w:sz w:val="20"/>
                <w:szCs w:val="20"/>
              </w:rPr>
              <w:t xml:space="preserve">Education </w:t>
            </w:r>
          </w:p>
        </w:tc>
        <w:tc>
          <w:tcPr>
            <w:tcW w:w="3261" w:type="dxa"/>
            <w:tcBorders>
              <w:top w:val="single" w:sz="4" w:space="0" w:color="auto"/>
              <w:bottom w:val="single" w:sz="4" w:space="0" w:color="auto"/>
            </w:tcBorders>
            <w:vAlign w:val="center"/>
          </w:tcPr>
          <w:p w14:paraId="157BD3AF" w14:textId="77777777" w:rsidR="009A033F" w:rsidRPr="00D45EEB" w:rsidRDefault="009A033F" w:rsidP="00986067">
            <w:pPr>
              <w:jc w:val="both"/>
              <w:rPr>
                <w:sz w:val="20"/>
                <w:szCs w:val="20"/>
              </w:rPr>
            </w:pPr>
          </w:p>
        </w:tc>
        <w:tc>
          <w:tcPr>
            <w:tcW w:w="2409" w:type="dxa"/>
            <w:tcBorders>
              <w:top w:val="single" w:sz="4" w:space="0" w:color="auto"/>
              <w:bottom w:val="single" w:sz="4" w:space="0" w:color="auto"/>
            </w:tcBorders>
            <w:vAlign w:val="center"/>
          </w:tcPr>
          <w:p w14:paraId="4A74994B" w14:textId="77777777" w:rsidR="009A033F" w:rsidRPr="00D45EEB" w:rsidRDefault="009A033F" w:rsidP="00986067">
            <w:pPr>
              <w:jc w:val="both"/>
              <w:rPr>
                <w:sz w:val="20"/>
                <w:szCs w:val="20"/>
              </w:rPr>
            </w:pPr>
          </w:p>
        </w:tc>
      </w:tr>
      <w:tr w:rsidR="009A033F" w:rsidRPr="00D45EEB" w14:paraId="10154662" w14:textId="77777777" w:rsidTr="00B85BD9">
        <w:tc>
          <w:tcPr>
            <w:tcW w:w="3510" w:type="dxa"/>
            <w:tcBorders>
              <w:top w:val="single" w:sz="4" w:space="0" w:color="auto"/>
            </w:tcBorders>
            <w:vAlign w:val="center"/>
          </w:tcPr>
          <w:p w14:paraId="3A9E586E" w14:textId="77777777" w:rsidR="009A033F" w:rsidRPr="00D45EEB" w:rsidRDefault="009A033F" w:rsidP="00986067">
            <w:pPr>
              <w:jc w:val="both"/>
              <w:rPr>
                <w:sz w:val="20"/>
                <w:szCs w:val="20"/>
              </w:rPr>
            </w:pPr>
            <w:r w:rsidRPr="00D45EEB">
              <w:rPr>
                <w:sz w:val="20"/>
                <w:szCs w:val="20"/>
              </w:rPr>
              <w:t xml:space="preserve">Unemployment </w:t>
            </w:r>
          </w:p>
        </w:tc>
        <w:tc>
          <w:tcPr>
            <w:tcW w:w="3261" w:type="dxa"/>
            <w:tcBorders>
              <w:top w:val="single" w:sz="4" w:space="0" w:color="auto"/>
            </w:tcBorders>
            <w:vAlign w:val="center"/>
          </w:tcPr>
          <w:p w14:paraId="67B3361F" w14:textId="77777777" w:rsidR="009A033F" w:rsidRPr="00D45EEB" w:rsidRDefault="009A033F" w:rsidP="00986067">
            <w:pPr>
              <w:jc w:val="both"/>
              <w:rPr>
                <w:sz w:val="20"/>
                <w:szCs w:val="20"/>
              </w:rPr>
            </w:pPr>
            <w:r w:rsidRPr="00D45EEB">
              <w:rPr>
                <w:sz w:val="20"/>
                <w:szCs w:val="20"/>
              </w:rPr>
              <w:t>1</w:t>
            </w:r>
          </w:p>
        </w:tc>
        <w:tc>
          <w:tcPr>
            <w:tcW w:w="2409" w:type="dxa"/>
            <w:tcBorders>
              <w:top w:val="single" w:sz="4" w:space="0" w:color="auto"/>
            </w:tcBorders>
            <w:vAlign w:val="center"/>
          </w:tcPr>
          <w:p w14:paraId="61302C03" w14:textId="77777777" w:rsidR="009A033F" w:rsidRPr="00D45EEB" w:rsidRDefault="009A033F" w:rsidP="00986067">
            <w:pPr>
              <w:jc w:val="both"/>
              <w:rPr>
                <w:sz w:val="20"/>
                <w:szCs w:val="20"/>
              </w:rPr>
            </w:pPr>
            <w:r w:rsidRPr="00D45EEB">
              <w:rPr>
                <w:sz w:val="20"/>
                <w:szCs w:val="20"/>
              </w:rPr>
              <w:t>1.9</w:t>
            </w:r>
          </w:p>
        </w:tc>
      </w:tr>
      <w:tr w:rsidR="009A033F" w:rsidRPr="00D45EEB" w14:paraId="55700075" w14:textId="77777777" w:rsidTr="00B85BD9">
        <w:tc>
          <w:tcPr>
            <w:tcW w:w="3510" w:type="dxa"/>
            <w:vAlign w:val="center"/>
          </w:tcPr>
          <w:p w14:paraId="1B39E888" w14:textId="77777777" w:rsidR="009A033F" w:rsidRPr="00D45EEB" w:rsidRDefault="009A033F" w:rsidP="00986067">
            <w:pPr>
              <w:jc w:val="both"/>
              <w:rPr>
                <w:sz w:val="20"/>
                <w:szCs w:val="20"/>
              </w:rPr>
            </w:pPr>
            <w:r w:rsidRPr="00D45EEB">
              <w:rPr>
                <w:sz w:val="20"/>
                <w:szCs w:val="20"/>
              </w:rPr>
              <w:t xml:space="preserve">Primary  </w:t>
            </w:r>
          </w:p>
        </w:tc>
        <w:tc>
          <w:tcPr>
            <w:tcW w:w="3261" w:type="dxa"/>
            <w:vAlign w:val="center"/>
          </w:tcPr>
          <w:p w14:paraId="179A7576" w14:textId="77777777" w:rsidR="009A033F" w:rsidRPr="00D45EEB" w:rsidRDefault="009A033F" w:rsidP="00986067">
            <w:pPr>
              <w:jc w:val="both"/>
              <w:rPr>
                <w:sz w:val="20"/>
                <w:szCs w:val="20"/>
              </w:rPr>
            </w:pPr>
            <w:r w:rsidRPr="00D45EEB">
              <w:rPr>
                <w:sz w:val="20"/>
                <w:szCs w:val="20"/>
              </w:rPr>
              <w:t>26</w:t>
            </w:r>
          </w:p>
        </w:tc>
        <w:tc>
          <w:tcPr>
            <w:tcW w:w="2409" w:type="dxa"/>
            <w:vAlign w:val="center"/>
          </w:tcPr>
          <w:p w14:paraId="1B98F15B" w14:textId="77777777" w:rsidR="009A033F" w:rsidRPr="00D45EEB" w:rsidRDefault="009A033F" w:rsidP="00986067">
            <w:pPr>
              <w:jc w:val="both"/>
              <w:rPr>
                <w:sz w:val="20"/>
                <w:szCs w:val="20"/>
              </w:rPr>
            </w:pPr>
            <w:r w:rsidRPr="00D45EEB">
              <w:rPr>
                <w:sz w:val="20"/>
                <w:szCs w:val="20"/>
              </w:rPr>
              <w:t>49.1</w:t>
            </w:r>
          </w:p>
        </w:tc>
      </w:tr>
      <w:tr w:rsidR="009A033F" w:rsidRPr="00D45EEB" w14:paraId="715DECFA" w14:textId="77777777" w:rsidTr="00B85BD9">
        <w:tc>
          <w:tcPr>
            <w:tcW w:w="3510" w:type="dxa"/>
            <w:vAlign w:val="center"/>
          </w:tcPr>
          <w:p w14:paraId="44CE5E86" w14:textId="77777777" w:rsidR="009A033F" w:rsidRPr="00D45EEB" w:rsidRDefault="009A033F" w:rsidP="00986067">
            <w:pPr>
              <w:jc w:val="both"/>
              <w:rPr>
                <w:sz w:val="20"/>
                <w:szCs w:val="20"/>
              </w:rPr>
            </w:pPr>
            <w:r w:rsidRPr="00D45EEB">
              <w:rPr>
                <w:sz w:val="20"/>
                <w:szCs w:val="20"/>
              </w:rPr>
              <w:t xml:space="preserve">Secondary </w:t>
            </w:r>
          </w:p>
        </w:tc>
        <w:tc>
          <w:tcPr>
            <w:tcW w:w="3261" w:type="dxa"/>
            <w:vAlign w:val="center"/>
          </w:tcPr>
          <w:p w14:paraId="3C0D023D" w14:textId="77777777" w:rsidR="009A033F" w:rsidRPr="00D45EEB" w:rsidRDefault="009A033F" w:rsidP="00986067">
            <w:pPr>
              <w:jc w:val="both"/>
              <w:rPr>
                <w:sz w:val="20"/>
                <w:szCs w:val="20"/>
              </w:rPr>
            </w:pPr>
            <w:r w:rsidRPr="00D45EEB">
              <w:rPr>
                <w:sz w:val="20"/>
                <w:szCs w:val="20"/>
              </w:rPr>
              <w:t>12</w:t>
            </w:r>
          </w:p>
        </w:tc>
        <w:tc>
          <w:tcPr>
            <w:tcW w:w="2409" w:type="dxa"/>
            <w:vAlign w:val="center"/>
          </w:tcPr>
          <w:p w14:paraId="5A1BA38B" w14:textId="77777777" w:rsidR="009A033F" w:rsidRPr="00D45EEB" w:rsidRDefault="009A033F" w:rsidP="00986067">
            <w:pPr>
              <w:jc w:val="both"/>
              <w:rPr>
                <w:sz w:val="20"/>
                <w:szCs w:val="20"/>
              </w:rPr>
            </w:pPr>
            <w:r w:rsidRPr="00D45EEB">
              <w:rPr>
                <w:sz w:val="20"/>
                <w:szCs w:val="20"/>
              </w:rPr>
              <w:t>22.6</w:t>
            </w:r>
          </w:p>
        </w:tc>
      </w:tr>
      <w:tr w:rsidR="009A033F" w:rsidRPr="00D45EEB" w14:paraId="7F17F38B" w14:textId="77777777" w:rsidTr="00B85BD9">
        <w:tc>
          <w:tcPr>
            <w:tcW w:w="3510" w:type="dxa"/>
            <w:vAlign w:val="center"/>
          </w:tcPr>
          <w:p w14:paraId="3B5918B9" w14:textId="77777777" w:rsidR="009A033F" w:rsidRPr="00D45EEB" w:rsidRDefault="009A033F" w:rsidP="00986067">
            <w:pPr>
              <w:jc w:val="both"/>
              <w:rPr>
                <w:sz w:val="20"/>
                <w:szCs w:val="20"/>
              </w:rPr>
            </w:pPr>
            <w:r w:rsidRPr="00D45EEB">
              <w:rPr>
                <w:sz w:val="20"/>
                <w:szCs w:val="20"/>
              </w:rPr>
              <w:t xml:space="preserve">High School </w:t>
            </w:r>
          </w:p>
        </w:tc>
        <w:tc>
          <w:tcPr>
            <w:tcW w:w="3261" w:type="dxa"/>
            <w:vAlign w:val="center"/>
          </w:tcPr>
          <w:p w14:paraId="64164C3E" w14:textId="77777777" w:rsidR="009A033F" w:rsidRPr="00D45EEB" w:rsidRDefault="009A033F" w:rsidP="00986067">
            <w:pPr>
              <w:jc w:val="both"/>
              <w:rPr>
                <w:sz w:val="20"/>
                <w:szCs w:val="20"/>
              </w:rPr>
            </w:pPr>
            <w:r w:rsidRPr="00D45EEB">
              <w:rPr>
                <w:sz w:val="20"/>
                <w:szCs w:val="20"/>
              </w:rPr>
              <w:t>12</w:t>
            </w:r>
          </w:p>
        </w:tc>
        <w:tc>
          <w:tcPr>
            <w:tcW w:w="2409" w:type="dxa"/>
            <w:vAlign w:val="center"/>
          </w:tcPr>
          <w:p w14:paraId="4677DAF6" w14:textId="77777777" w:rsidR="009A033F" w:rsidRPr="00D45EEB" w:rsidRDefault="009A033F" w:rsidP="00986067">
            <w:pPr>
              <w:jc w:val="both"/>
              <w:rPr>
                <w:sz w:val="20"/>
                <w:szCs w:val="20"/>
              </w:rPr>
            </w:pPr>
            <w:r w:rsidRPr="00D45EEB">
              <w:rPr>
                <w:sz w:val="20"/>
                <w:szCs w:val="20"/>
              </w:rPr>
              <w:t>22.6</w:t>
            </w:r>
          </w:p>
        </w:tc>
      </w:tr>
      <w:tr w:rsidR="009A033F" w:rsidRPr="00D45EEB" w14:paraId="4D821EE3" w14:textId="77777777" w:rsidTr="00B85BD9">
        <w:tc>
          <w:tcPr>
            <w:tcW w:w="3510" w:type="dxa"/>
            <w:tcBorders>
              <w:bottom w:val="single" w:sz="4" w:space="0" w:color="auto"/>
            </w:tcBorders>
            <w:vAlign w:val="center"/>
          </w:tcPr>
          <w:p w14:paraId="54E71614" w14:textId="77777777" w:rsidR="009A033F" w:rsidRPr="00D45EEB" w:rsidRDefault="009A033F" w:rsidP="00986067">
            <w:pPr>
              <w:jc w:val="both"/>
              <w:rPr>
                <w:sz w:val="20"/>
                <w:szCs w:val="20"/>
              </w:rPr>
            </w:pPr>
            <w:r w:rsidRPr="00D45EEB">
              <w:rPr>
                <w:sz w:val="20"/>
                <w:szCs w:val="20"/>
              </w:rPr>
              <w:t xml:space="preserve">Tertiary </w:t>
            </w:r>
          </w:p>
        </w:tc>
        <w:tc>
          <w:tcPr>
            <w:tcW w:w="3261" w:type="dxa"/>
            <w:tcBorders>
              <w:bottom w:val="single" w:sz="4" w:space="0" w:color="auto"/>
            </w:tcBorders>
            <w:vAlign w:val="center"/>
          </w:tcPr>
          <w:p w14:paraId="4046DD66" w14:textId="77777777" w:rsidR="009A033F" w:rsidRPr="00D45EEB" w:rsidRDefault="009A033F" w:rsidP="00986067">
            <w:pPr>
              <w:jc w:val="both"/>
              <w:rPr>
                <w:sz w:val="20"/>
                <w:szCs w:val="20"/>
              </w:rPr>
            </w:pPr>
            <w:r w:rsidRPr="00D45EEB">
              <w:rPr>
                <w:sz w:val="20"/>
                <w:szCs w:val="20"/>
              </w:rPr>
              <w:t>3</w:t>
            </w:r>
          </w:p>
        </w:tc>
        <w:tc>
          <w:tcPr>
            <w:tcW w:w="2409" w:type="dxa"/>
            <w:tcBorders>
              <w:bottom w:val="single" w:sz="4" w:space="0" w:color="auto"/>
            </w:tcBorders>
            <w:vAlign w:val="center"/>
          </w:tcPr>
          <w:p w14:paraId="79A86D9D" w14:textId="77777777" w:rsidR="009A033F" w:rsidRPr="00D45EEB" w:rsidRDefault="009A033F" w:rsidP="00986067">
            <w:pPr>
              <w:jc w:val="both"/>
              <w:rPr>
                <w:sz w:val="20"/>
                <w:szCs w:val="20"/>
              </w:rPr>
            </w:pPr>
            <w:r w:rsidRPr="00D45EEB">
              <w:rPr>
                <w:sz w:val="20"/>
                <w:szCs w:val="20"/>
              </w:rPr>
              <w:t>3.8</w:t>
            </w:r>
          </w:p>
        </w:tc>
      </w:tr>
      <w:tr w:rsidR="009A033F" w:rsidRPr="00D45EEB" w14:paraId="2CA65710" w14:textId="77777777" w:rsidTr="00B85BD9">
        <w:tc>
          <w:tcPr>
            <w:tcW w:w="3510" w:type="dxa"/>
            <w:tcBorders>
              <w:top w:val="single" w:sz="4" w:space="0" w:color="auto"/>
              <w:bottom w:val="single" w:sz="4" w:space="0" w:color="auto"/>
            </w:tcBorders>
            <w:vAlign w:val="center"/>
          </w:tcPr>
          <w:p w14:paraId="13E7D83D" w14:textId="77777777" w:rsidR="009A033F" w:rsidRPr="00D45EEB" w:rsidRDefault="009A033F" w:rsidP="00986067">
            <w:pPr>
              <w:jc w:val="both"/>
              <w:rPr>
                <w:b/>
                <w:sz w:val="20"/>
                <w:szCs w:val="20"/>
              </w:rPr>
            </w:pPr>
            <w:r w:rsidRPr="00D45EEB">
              <w:rPr>
                <w:b/>
                <w:sz w:val="20"/>
                <w:szCs w:val="20"/>
              </w:rPr>
              <w:t xml:space="preserve">Knowledge  </w:t>
            </w:r>
          </w:p>
        </w:tc>
        <w:tc>
          <w:tcPr>
            <w:tcW w:w="3261" w:type="dxa"/>
            <w:tcBorders>
              <w:top w:val="single" w:sz="4" w:space="0" w:color="auto"/>
              <w:bottom w:val="single" w:sz="4" w:space="0" w:color="auto"/>
            </w:tcBorders>
            <w:vAlign w:val="center"/>
          </w:tcPr>
          <w:p w14:paraId="405F539B" w14:textId="77777777" w:rsidR="009A033F" w:rsidRPr="00D45EEB" w:rsidRDefault="009A033F" w:rsidP="00986067">
            <w:pPr>
              <w:jc w:val="both"/>
              <w:rPr>
                <w:sz w:val="20"/>
                <w:szCs w:val="20"/>
              </w:rPr>
            </w:pPr>
          </w:p>
        </w:tc>
        <w:tc>
          <w:tcPr>
            <w:tcW w:w="2409" w:type="dxa"/>
            <w:tcBorders>
              <w:top w:val="single" w:sz="4" w:space="0" w:color="auto"/>
              <w:bottom w:val="single" w:sz="4" w:space="0" w:color="auto"/>
            </w:tcBorders>
            <w:vAlign w:val="center"/>
          </w:tcPr>
          <w:p w14:paraId="24174B09" w14:textId="77777777" w:rsidR="009A033F" w:rsidRPr="00D45EEB" w:rsidRDefault="009A033F" w:rsidP="00986067">
            <w:pPr>
              <w:jc w:val="both"/>
              <w:rPr>
                <w:sz w:val="20"/>
                <w:szCs w:val="20"/>
              </w:rPr>
            </w:pPr>
          </w:p>
        </w:tc>
      </w:tr>
      <w:tr w:rsidR="009A033F" w:rsidRPr="00D45EEB" w14:paraId="24D1076D" w14:textId="77777777" w:rsidTr="00B85BD9">
        <w:tc>
          <w:tcPr>
            <w:tcW w:w="3510" w:type="dxa"/>
            <w:tcBorders>
              <w:top w:val="single" w:sz="4" w:space="0" w:color="auto"/>
            </w:tcBorders>
            <w:vAlign w:val="center"/>
          </w:tcPr>
          <w:p w14:paraId="0466BC89" w14:textId="77777777" w:rsidR="009A033F" w:rsidRPr="00D45EEB" w:rsidRDefault="009A033F" w:rsidP="00986067">
            <w:pPr>
              <w:jc w:val="both"/>
              <w:rPr>
                <w:sz w:val="20"/>
                <w:szCs w:val="20"/>
              </w:rPr>
            </w:pPr>
            <w:r w:rsidRPr="00D45EEB">
              <w:rPr>
                <w:sz w:val="20"/>
                <w:szCs w:val="20"/>
              </w:rPr>
              <w:t>Good (76-100%)</w:t>
            </w:r>
          </w:p>
        </w:tc>
        <w:tc>
          <w:tcPr>
            <w:tcW w:w="3261" w:type="dxa"/>
            <w:tcBorders>
              <w:top w:val="single" w:sz="4" w:space="0" w:color="auto"/>
            </w:tcBorders>
            <w:vAlign w:val="center"/>
          </w:tcPr>
          <w:p w14:paraId="745B7E53" w14:textId="77777777" w:rsidR="009A033F" w:rsidRPr="00D45EEB" w:rsidRDefault="009A033F" w:rsidP="00986067">
            <w:pPr>
              <w:jc w:val="both"/>
              <w:rPr>
                <w:sz w:val="20"/>
                <w:szCs w:val="20"/>
              </w:rPr>
            </w:pPr>
            <w:r w:rsidRPr="00D45EEB">
              <w:rPr>
                <w:sz w:val="20"/>
                <w:szCs w:val="20"/>
              </w:rPr>
              <w:t>22</w:t>
            </w:r>
          </w:p>
        </w:tc>
        <w:tc>
          <w:tcPr>
            <w:tcW w:w="2409" w:type="dxa"/>
            <w:tcBorders>
              <w:top w:val="single" w:sz="4" w:space="0" w:color="auto"/>
            </w:tcBorders>
            <w:vAlign w:val="center"/>
          </w:tcPr>
          <w:p w14:paraId="750A3CF2" w14:textId="77777777" w:rsidR="009A033F" w:rsidRPr="00D45EEB" w:rsidRDefault="009A033F" w:rsidP="00986067">
            <w:pPr>
              <w:jc w:val="both"/>
              <w:rPr>
                <w:sz w:val="20"/>
                <w:szCs w:val="20"/>
              </w:rPr>
            </w:pPr>
            <w:r w:rsidRPr="00D45EEB">
              <w:rPr>
                <w:sz w:val="20"/>
                <w:szCs w:val="20"/>
              </w:rPr>
              <w:t>41.5</w:t>
            </w:r>
          </w:p>
        </w:tc>
      </w:tr>
      <w:tr w:rsidR="009A033F" w:rsidRPr="00D45EEB" w14:paraId="31A95998" w14:textId="77777777" w:rsidTr="00B85BD9">
        <w:tc>
          <w:tcPr>
            <w:tcW w:w="3510" w:type="dxa"/>
            <w:vAlign w:val="center"/>
          </w:tcPr>
          <w:p w14:paraId="0216AFA7" w14:textId="77777777" w:rsidR="009A033F" w:rsidRPr="00D45EEB" w:rsidRDefault="009A033F" w:rsidP="00986067">
            <w:pPr>
              <w:jc w:val="both"/>
              <w:rPr>
                <w:sz w:val="20"/>
                <w:szCs w:val="20"/>
              </w:rPr>
            </w:pPr>
            <w:r w:rsidRPr="00D45EEB">
              <w:rPr>
                <w:sz w:val="20"/>
                <w:szCs w:val="20"/>
              </w:rPr>
              <w:t>Enough (56-75%)</w:t>
            </w:r>
          </w:p>
        </w:tc>
        <w:tc>
          <w:tcPr>
            <w:tcW w:w="3261" w:type="dxa"/>
            <w:vAlign w:val="center"/>
          </w:tcPr>
          <w:p w14:paraId="3B5D3EFC" w14:textId="77777777" w:rsidR="009A033F" w:rsidRPr="00D45EEB" w:rsidRDefault="009A033F" w:rsidP="00986067">
            <w:pPr>
              <w:jc w:val="both"/>
              <w:rPr>
                <w:sz w:val="20"/>
                <w:szCs w:val="20"/>
              </w:rPr>
            </w:pPr>
            <w:r w:rsidRPr="00D45EEB">
              <w:rPr>
                <w:sz w:val="20"/>
                <w:szCs w:val="20"/>
              </w:rPr>
              <w:t>28</w:t>
            </w:r>
          </w:p>
        </w:tc>
        <w:tc>
          <w:tcPr>
            <w:tcW w:w="2409" w:type="dxa"/>
            <w:vAlign w:val="center"/>
          </w:tcPr>
          <w:p w14:paraId="03460E90" w14:textId="77777777" w:rsidR="009A033F" w:rsidRPr="00D45EEB" w:rsidRDefault="009A033F" w:rsidP="00986067">
            <w:pPr>
              <w:jc w:val="both"/>
              <w:rPr>
                <w:sz w:val="20"/>
                <w:szCs w:val="20"/>
              </w:rPr>
            </w:pPr>
            <w:r w:rsidRPr="00D45EEB">
              <w:rPr>
                <w:sz w:val="20"/>
                <w:szCs w:val="20"/>
              </w:rPr>
              <w:t>52.8</w:t>
            </w:r>
          </w:p>
        </w:tc>
      </w:tr>
      <w:tr w:rsidR="009A033F" w:rsidRPr="00D45EEB" w14:paraId="29D80662" w14:textId="77777777" w:rsidTr="00B85BD9">
        <w:tc>
          <w:tcPr>
            <w:tcW w:w="3510" w:type="dxa"/>
            <w:tcBorders>
              <w:bottom w:val="single" w:sz="4" w:space="0" w:color="auto"/>
            </w:tcBorders>
            <w:vAlign w:val="center"/>
          </w:tcPr>
          <w:p w14:paraId="48DEE74D" w14:textId="77777777" w:rsidR="009A033F" w:rsidRPr="00D45EEB" w:rsidRDefault="009A033F" w:rsidP="00986067">
            <w:pPr>
              <w:jc w:val="both"/>
              <w:rPr>
                <w:sz w:val="20"/>
                <w:szCs w:val="20"/>
              </w:rPr>
            </w:pPr>
            <w:r w:rsidRPr="00D45EEB">
              <w:rPr>
                <w:sz w:val="20"/>
                <w:szCs w:val="20"/>
              </w:rPr>
              <w:t>Less (&lt;56%)</w:t>
            </w:r>
          </w:p>
        </w:tc>
        <w:tc>
          <w:tcPr>
            <w:tcW w:w="3261" w:type="dxa"/>
            <w:tcBorders>
              <w:bottom w:val="single" w:sz="4" w:space="0" w:color="auto"/>
            </w:tcBorders>
            <w:vAlign w:val="center"/>
          </w:tcPr>
          <w:p w14:paraId="2A5C3F9A" w14:textId="77777777" w:rsidR="009A033F" w:rsidRPr="00D45EEB" w:rsidRDefault="009A033F" w:rsidP="00986067">
            <w:pPr>
              <w:jc w:val="both"/>
              <w:rPr>
                <w:sz w:val="20"/>
                <w:szCs w:val="20"/>
              </w:rPr>
            </w:pPr>
            <w:r w:rsidRPr="00D45EEB">
              <w:rPr>
                <w:sz w:val="20"/>
                <w:szCs w:val="20"/>
              </w:rPr>
              <w:t>3</w:t>
            </w:r>
          </w:p>
        </w:tc>
        <w:tc>
          <w:tcPr>
            <w:tcW w:w="2409" w:type="dxa"/>
            <w:tcBorders>
              <w:bottom w:val="single" w:sz="4" w:space="0" w:color="auto"/>
            </w:tcBorders>
            <w:vAlign w:val="center"/>
          </w:tcPr>
          <w:p w14:paraId="3000CD7D" w14:textId="77777777" w:rsidR="009A033F" w:rsidRPr="00D45EEB" w:rsidRDefault="009A033F" w:rsidP="00986067">
            <w:pPr>
              <w:jc w:val="both"/>
              <w:rPr>
                <w:sz w:val="20"/>
                <w:szCs w:val="20"/>
              </w:rPr>
            </w:pPr>
            <w:r w:rsidRPr="00D45EEB">
              <w:rPr>
                <w:sz w:val="20"/>
                <w:szCs w:val="20"/>
              </w:rPr>
              <w:t>5.7</w:t>
            </w:r>
          </w:p>
        </w:tc>
      </w:tr>
      <w:tr w:rsidR="009A033F" w:rsidRPr="00D45EEB" w14:paraId="677B5B34" w14:textId="77777777" w:rsidTr="00B85BD9">
        <w:tc>
          <w:tcPr>
            <w:tcW w:w="3510" w:type="dxa"/>
            <w:tcBorders>
              <w:top w:val="single" w:sz="4" w:space="0" w:color="auto"/>
              <w:bottom w:val="single" w:sz="4" w:space="0" w:color="auto"/>
            </w:tcBorders>
            <w:vAlign w:val="center"/>
          </w:tcPr>
          <w:p w14:paraId="5F79AC80" w14:textId="77777777" w:rsidR="009A033F" w:rsidRPr="00D45EEB" w:rsidRDefault="009A033F" w:rsidP="00986067">
            <w:pPr>
              <w:jc w:val="both"/>
              <w:rPr>
                <w:b/>
                <w:sz w:val="20"/>
                <w:szCs w:val="20"/>
              </w:rPr>
            </w:pPr>
            <w:r w:rsidRPr="00D45EEB">
              <w:rPr>
                <w:b/>
                <w:sz w:val="20"/>
                <w:szCs w:val="20"/>
              </w:rPr>
              <w:t>Total</w:t>
            </w:r>
          </w:p>
        </w:tc>
        <w:tc>
          <w:tcPr>
            <w:tcW w:w="3261" w:type="dxa"/>
            <w:tcBorders>
              <w:top w:val="single" w:sz="4" w:space="0" w:color="auto"/>
              <w:bottom w:val="single" w:sz="4" w:space="0" w:color="auto"/>
            </w:tcBorders>
            <w:vAlign w:val="center"/>
          </w:tcPr>
          <w:p w14:paraId="59DB8E9A" w14:textId="77777777" w:rsidR="009A033F" w:rsidRPr="00D45EEB" w:rsidRDefault="009A033F" w:rsidP="00986067">
            <w:pPr>
              <w:jc w:val="both"/>
              <w:rPr>
                <w:sz w:val="20"/>
                <w:szCs w:val="20"/>
              </w:rPr>
            </w:pPr>
            <w:r w:rsidRPr="00D45EEB">
              <w:rPr>
                <w:sz w:val="20"/>
                <w:szCs w:val="20"/>
              </w:rPr>
              <w:t>53</w:t>
            </w:r>
          </w:p>
        </w:tc>
        <w:tc>
          <w:tcPr>
            <w:tcW w:w="2409" w:type="dxa"/>
            <w:tcBorders>
              <w:top w:val="single" w:sz="4" w:space="0" w:color="auto"/>
              <w:bottom w:val="single" w:sz="4" w:space="0" w:color="auto"/>
            </w:tcBorders>
            <w:vAlign w:val="center"/>
          </w:tcPr>
          <w:p w14:paraId="56FA9D8F" w14:textId="77777777" w:rsidR="009A033F" w:rsidRPr="00D45EEB" w:rsidRDefault="009A033F" w:rsidP="00986067">
            <w:pPr>
              <w:jc w:val="both"/>
              <w:rPr>
                <w:sz w:val="20"/>
                <w:szCs w:val="20"/>
              </w:rPr>
            </w:pPr>
            <w:r w:rsidRPr="00D45EEB">
              <w:rPr>
                <w:sz w:val="20"/>
                <w:szCs w:val="20"/>
              </w:rPr>
              <w:t>100</w:t>
            </w:r>
          </w:p>
        </w:tc>
      </w:tr>
    </w:tbl>
    <w:p w14:paraId="41103151" w14:textId="77777777" w:rsidR="009A033F" w:rsidRDefault="009A033F" w:rsidP="000650AA">
      <w:pPr>
        <w:autoSpaceDE w:val="0"/>
        <w:autoSpaceDN w:val="0"/>
        <w:adjustRightInd w:val="0"/>
        <w:jc w:val="both"/>
        <w:rPr>
          <w:b/>
          <w:sz w:val="20"/>
          <w:szCs w:val="20"/>
        </w:rPr>
      </w:pPr>
    </w:p>
    <w:p w14:paraId="67EC5499" w14:textId="77777777" w:rsidR="000650AA" w:rsidRPr="000650AA" w:rsidRDefault="000650AA" w:rsidP="000650AA">
      <w:pPr>
        <w:autoSpaceDE w:val="0"/>
        <w:autoSpaceDN w:val="0"/>
        <w:adjustRightInd w:val="0"/>
        <w:jc w:val="both"/>
        <w:rPr>
          <w:b/>
          <w:sz w:val="20"/>
          <w:szCs w:val="20"/>
        </w:rPr>
      </w:pPr>
      <w:r w:rsidRPr="000650AA">
        <w:rPr>
          <w:b/>
          <w:sz w:val="20"/>
          <w:szCs w:val="20"/>
        </w:rPr>
        <w:t>Perceived Susceptibility to Mother's Actions in preventing BGM</w:t>
      </w:r>
    </w:p>
    <w:p w14:paraId="1EC8A628" w14:textId="70766079" w:rsidR="000650AA" w:rsidRPr="000650AA" w:rsidRDefault="000650AA" w:rsidP="00ED5751">
      <w:pPr>
        <w:widowControl w:val="0"/>
        <w:autoSpaceDE w:val="0"/>
        <w:autoSpaceDN w:val="0"/>
        <w:adjustRightInd w:val="0"/>
        <w:ind w:firstLine="567"/>
        <w:jc w:val="both"/>
        <w:rPr>
          <w:sz w:val="20"/>
          <w:szCs w:val="20"/>
        </w:rPr>
      </w:pPr>
      <w:r w:rsidRPr="000650AA">
        <w:rPr>
          <w:sz w:val="20"/>
          <w:szCs w:val="20"/>
        </w:rPr>
        <w:t>This study used cross tabulation to determine the relationship between mother's perceived vulnerability to BGM prevention. This distribution can be seen in table 1 below:</w:t>
      </w:r>
    </w:p>
    <w:p w14:paraId="09957946" w14:textId="77777777" w:rsidR="000650AA" w:rsidRPr="000650AA" w:rsidRDefault="000650AA" w:rsidP="000650AA">
      <w:pPr>
        <w:autoSpaceDE w:val="0"/>
        <w:autoSpaceDN w:val="0"/>
        <w:adjustRightInd w:val="0"/>
        <w:ind w:left="1134" w:hanging="1134"/>
        <w:jc w:val="both"/>
        <w:rPr>
          <w:bCs/>
          <w:sz w:val="20"/>
          <w:szCs w:val="20"/>
        </w:rPr>
      </w:pPr>
    </w:p>
    <w:p w14:paraId="6A6FBFA1" w14:textId="77777777" w:rsidR="000650AA" w:rsidRPr="000650AA" w:rsidRDefault="000650AA" w:rsidP="000650AA">
      <w:pPr>
        <w:autoSpaceDE w:val="0"/>
        <w:autoSpaceDN w:val="0"/>
        <w:adjustRightInd w:val="0"/>
        <w:ind w:left="1134" w:hanging="1134"/>
        <w:jc w:val="both"/>
        <w:rPr>
          <w:sz w:val="20"/>
          <w:szCs w:val="20"/>
        </w:rPr>
      </w:pPr>
      <w:proofErr w:type="gramStart"/>
      <w:r w:rsidRPr="009D02E7">
        <w:rPr>
          <w:b/>
          <w:bCs/>
          <w:sz w:val="20"/>
          <w:szCs w:val="20"/>
        </w:rPr>
        <w:t>Table 2</w:t>
      </w:r>
      <w:r w:rsidRPr="000650AA">
        <w:rPr>
          <w:bCs/>
          <w:sz w:val="20"/>
          <w:szCs w:val="20"/>
        </w:rPr>
        <w:t>.</w:t>
      </w:r>
      <w:proofErr w:type="gramEnd"/>
      <w:r w:rsidRPr="000650AA">
        <w:rPr>
          <w:sz w:val="20"/>
          <w:szCs w:val="20"/>
        </w:rPr>
        <w:t xml:space="preserve"> The vulnerability felt by mothers to BGM prevention measures in the </w:t>
      </w:r>
      <w:proofErr w:type="spellStart"/>
      <w:r w:rsidRPr="000650AA">
        <w:rPr>
          <w:sz w:val="20"/>
          <w:szCs w:val="20"/>
        </w:rPr>
        <w:t>Wonokusumo</w:t>
      </w:r>
      <w:proofErr w:type="spellEnd"/>
      <w:r w:rsidRPr="000650AA">
        <w:rPr>
          <w:sz w:val="20"/>
          <w:szCs w:val="20"/>
        </w:rPr>
        <w:t xml:space="preserve"> Health Center Surabaya Work Area in 2019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833"/>
        <w:gridCol w:w="930"/>
        <w:gridCol w:w="909"/>
        <w:gridCol w:w="964"/>
        <w:gridCol w:w="975"/>
        <w:gridCol w:w="1119"/>
        <w:gridCol w:w="1926"/>
      </w:tblGrid>
      <w:tr w:rsidR="003947E5" w:rsidRPr="000650AA" w14:paraId="42488DDF" w14:textId="24C4B75A" w:rsidTr="003947E5">
        <w:trPr>
          <w:jc w:val="center"/>
        </w:trPr>
        <w:tc>
          <w:tcPr>
            <w:tcW w:w="1631" w:type="dxa"/>
            <w:vMerge w:val="restart"/>
            <w:tcBorders>
              <w:top w:val="single" w:sz="4" w:space="0" w:color="auto"/>
            </w:tcBorders>
            <w:hideMark/>
          </w:tcPr>
          <w:p w14:paraId="5C176904" w14:textId="77777777" w:rsidR="003947E5" w:rsidRPr="000650AA" w:rsidRDefault="003947E5" w:rsidP="00986067">
            <w:pPr>
              <w:autoSpaceDE w:val="0"/>
              <w:autoSpaceDN w:val="0"/>
              <w:adjustRightInd w:val="0"/>
              <w:ind w:left="152" w:hanging="189"/>
              <w:jc w:val="center"/>
              <w:rPr>
                <w:b/>
                <w:sz w:val="20"/>
                <w:szCs w:val="20"/>
              </w:rPr>
            </w:pPr>
            <w:r w:rsidRPr="000650AA">
              <w:rPr>
                <w:b/>
                <w:sz w:val="20"/>
                <w:szCs w:val="20"/>
              </w:rPr>
              <w:t>Predisposition being felt</w:t>
            </w:r>
          </w:p>
        </w:tc>
        <w:tc>
          <w:tcPr>
            <w:tcW w:w="3636" w:type="dxa"/>
            <w:gridSpan w:val="4"/>
            <w:tcBorders>
              <w:top w:val="single" w:sz="4" w:space="0" w:color="auto"/>
              <w:bottom w:val="single" w:sz="4" w:space="0" w:color="auto"/>
            </w:tcBorders>
            <w:hideMark/>
          </w:tcPr>
          <w:p w14:paraId="09249D04"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BGM Prevention</w:t>
            </w:r>
          </w:p>
        </w:tc>
        <w:tc>
          <w:tcPr>
            <w:tcW w:w="2094" w:type="dxa"/>
            <w:gridSpan w:val="2"/>
            <w:vMerge w:val="restart"/>
            <w:tcBorders>
              <w:top w:val="single" w:sz="4" w:space="0" w:color="auto"/>
            </w:tcBorders>
            <w:hideMark/>
          </w:tcPr>
          <w:p w14:paraId="5CA85EC5"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Amount</w:t>
            </w:r>
          </w:p>
        </w:tc>
        <w:tc>
          <w:tcPr>
            <w:tcW w:w="1926" w:type="dxa"/>
            <w:vMerge w:val="restart"/>
            <w:tcBorders>
              <w:top w:val="single" w:sz="4" w:space="0" w:color="auto"/>
            </w:tcBorders>
          </w:tcPr>
          <w:p w14:paraId="29BAB224" w14:textId="7A0EC4D6" w:rsidR="003947E5" w:rsidRPr="003947E5" w:rsidRDefault="003947E5" w:rsidP="00986067">
            <w:pPr>
              <w:autoSpaceDE w:val="0"/>
              <w:autoSpaceDN w:val="0"/>
              <w:adjustRightInd w:val="0"/>
              <w:ind w:left="1134" w:hanging="1134"/>
              <w:jc w:val="center"/>
              <w:rPr>
                <w:b/>
                <w:sz w:val="20"/>
                <w:szCs w:val="20"/>
              </w:rPr>
            </w:pPr>
            <w:r w:rsidRPr="00962372">
              <w:rPr>
                <w:b/>
                <w:sz w:val="20"/>
              </w:rPr>
              <w:t>p value</w:t>
            </w:r>
          </w:p>
        </w:tc>
      </w:tr>
      <w:tr w:rsidR="003947E5" w:rsidRPr="000650AA" w14:paraId="064B5EB8" w14:textId="7A50DCA0" w:rsidTr="00B85BD9">
        <w:trPr>
          <w:jc w:val="center"/>
        </w:trPr>
        <w:tc>
          <w:tcPr>
            <w:tcW w:w="1631" w:type="dxa"/>
            <w:vMerge/>
            <w:vAlign w:val="center"/>
            <w:hideMark/>
          </w:tcPr>
          <w:p w14:paraId="747789D6" w14:textId="77777777" w:rsidR="003947E5" w:rsidRPr="000650AA" w:rsidRDefault="003947E5" w:rsidP="00986067">
            <w:pPr>
              <w:autoSpaceDE w:val="0"/>
              <w:autoSpaceDN w:val="0"/>
              <w:adjustRightInd w:val="0"/>
              <w:ind w:left="1134" w:hanging="1134"/>
              <w:jc w:val="center"/>
              <w:rPr>
                <w:b/>
                <w:sz w:val="20"/>
                <w:szCs w:val="20"/>
              </w:rPr>
            </w:pPr>
          </w:p>
        </w:tc>
        <w:tc>
          <w:tcPr>
            <w:tcW w:w="1763" w:type="dxa"/>
            <w:gridSpan w:val="2"/>
            <w:tcBorders>
              <w:top w:val="single" w:sz="4" w:space="0" w:color="auto"/>
              <w:bottom w:val="single" w:sz="4" w:space="0" w:color="auto"/>
            </w:tcBorders>
            <w:hideMark/>
          </w:tcPr>
          <w:p w14:paraId="28EFD12D"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Prevent</w:t>
            </w:r>
          </w:p>
        </w:tc>
        <w:tc>
          <w:tcPr>
            <w:tcW w:w="1873" w:type="dxa"/>
            <w:gridSpan w:val="2"/>
            <w:tcBorders>
              <w:top w:val="single" w:sz="4" w:space="0" w:color="auto"/>
              <w:bottom w:val="single" w:sz="4" w:space="0" w:color="auto"/>
            </w:tcBorders>
            <w:hideMark/>
          </w:tcPr>
          <w:p w14:paraId="13387D8C"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Not prevent</w:t>
            </w:r>
          </w:p>
        </w:tc>
        <w:tc>
          <w:tcPr>
            <w:tcW w:w="2094" w:type="dxa"/>
            <w:gridSpan w:val="2"/>
            <w:vMerge/>
            <w:tcBorders>
              <w:bottom w:val="single" w:sz="4" w:space="0" w:color="auto"/>
            </w:tcBorders>
            <w:vAlign w:val="center"/>
            <w:hideMark/>
          </w:tcPr>
          <w:p w14:paraId="7935214C" w14:textId="77777777" w:rsidR="003947E5" w:rsidRPr="000650AA" w:rsidRDefault="003947E5" w:rsidP="00986067">
            <w:pPr>
              <w:autoSpaceDE w:val="0"/>
              <w:autoSpaceDN w:val="0"/>
              <w:adjustRightInd w:val="0"/>
              <w:ind w:left="1134" w:hanging="1134"/>
              <w:jc w:val="center"/>
              <w:rPr>
                <w:b/>
                <w:sz w:val="20"/>
                <w:szCs w:val="20"/>
              </w:rPr>
            </w:pPr>
          </w:p>
        </w:tc>
        <w:tc>
          <w:tcPr>
            <w:tcW w:w="1926" w:type="dxa"/>
            <w:vMerge/>
          </w:tcPr>
          <w:p w14:paraId="0B2CE642" w14:textId="77777777" w:rsidR="003947E5" w:rsidRPr="000650AA" w:rsidRDefault="003947E5" w:rsidP="00986067">
            <w:pPr>
              <w:autoSpaceDE w:val="0"/>
              <w:autoSpaceDN w:val="0"/>
              <w:adjustRightInd w:val="0"/>
              <w:ind w:left="1134" w:hanging="1134"/>
              <w:jc w:val="center"/>
              <w:rPr>
                <w:b/>
                <w:sz w:val="20"/>
                <w:szCs w:val="20"/>
              </w:rPr>
            </w:pPr>
          </w:p>
        </w:tc>
      </w:tr>
      <w:tr w:rsidR="003947E5" w:rsidRPr="000650AA" w14:paraId="7658B1D1" w14:textId="548A1651" w:rsidTr="00B85BD9">
        <w:trPr>
          <w:jc w:val="center"/>
        </w:trPr>
        <w:tc>
          <w:tcPr>
            <w:tcW w:w="1631" w:type="dxa"/>
            <w:vMerge/>
            <w:tcBorders>
              <w:bottom w:val="single" w:sz="4" w:space="0" w:color="auto"/>
            </w:tcBorders>
            <w:vAlign w:val="center"/>
            <w:hideMark/>
          </w:tcPr>
          <w:p w14:paraId="147D60EF" w14:textId="77777777" w:rsidR="003947E5" w:rsidRPr="000650AA" w:rsidRDefault="003947E5" w:rsidP="00986067">
            <w:pPr>
              <w:autoSpaceDE w:val="0"/>
              <w:autoSpaceDN w:val="0"/>
              <w:adjustRightInd w:val="0"/>
              <w:ind w:left="1134" w:hanging="1134"/>
              <w:jc w:val="center"/>
              <w:rPr>
                <w:b/>
                <w:sz w:val="20"/>
                <w:szCs w:val="20"/>
              </w:rPr>
            </w:pPr>
          </w:p>
        </w:tc>
        <w:tc>
          <w:tcPr>
            <w:tcW w:w="833" w:type="dxa"/>
            <w:tcBorders>
              <w:top w:val="single" w:sz="4" w:space="0" w:color="auto"/>
              <w:bottom w:val="single" w:sz="4" w:space="0" w:color="auto"/>
            </w:tcBorders>
            <w:hideMark/>
          </w:tcPr>
          <w:p w14:paraId="28FC6B1F"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N</w:t>
            </w:r>
          </w:p>
        </w:tc>
        <w:tc>
          <w:tcPr>
            <w:tcW w:w="930" w:type="dxa"/>
            <w:tcBorders>
              <w:top w:val="single" w:sz="4" w:space="0" w:color="auto"/>
              <w:bottom w:val="single" w:sz="4" w:space="0" w:color="auto"/>
            </w:tcBorders>
            <w:hideMark/>
          </w:tcPr>
          <w:p w14:paraId="76A643DF"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w:t>
            </w:r>
          </w:p>
        </w:tc>
        <w:tc>
          <w:tcPr>
            <w:tcW w:w="909" w:type="dxa"/>
            <w:tcBorders>
              <w:top w:val="single" w:sz="4" w:space="0" w:color="auto"/>
              <w:bottom w:val="single" w:sz="4" w:space="0" w:color="auto"/>
            </w:tcBorders>
            <w:hideMark/>
          </w:tcPr>
          <w:p w14:paraId="6386CA61"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N</w:t>
            </w:r>
          </w:p>
        </w:tc>
        <w:tc>
          <w:tcPr>
            <w:tcW w:w="964" w:type="dxa"/>
            <w:tcBorders>
              <w:top w:val="single" w:sz="4" w:space="0" w:color="auto"/>
              <w:bottom w:val="single" w:sz="4" w:space="0" w:color="auto"/>
            </w:tcBorders>
            <w:hideMark/>
          </w:tcPr>
          <w:p w14:paraId="450EDB8E"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w:t>
            </w:r>
          </w:p>
        </w:tc>
        <w:tc>
          <w:tcPr>
            <w:tcW w:w="975" w:type="dxa"/>
            <w:tcBorders>
              <w:top w:val="single" w:sz="4" w:space="0" w:color="auto"/>
              <w:bottom w:val="single" w:sz="4" w:space="0" w:color="auto"/>
            </w:tcBorders>
            <w:hideMark/>
          </w:tcPr>
          <w:p w14:paraId="6609BB23"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n</w:t>
            </w:r>
          </w:p>
        </w:tc>
        <w:tc>
          <w:tcPr>
            <w:tcW w:w="1119" w:type="dxa"/>
            <w:tcBorders>
              <w:top w:val="single" w:sz="4" w:space="0" w:color="auto"/>
              <w:bottom w:val="single" w:sz="4" w:space="0" w:color="auto"/>
            </w:tcBorders>
            <w:hideMark/>
          </w:tcPr>
          <w:p w14:paraId="1E5D24C7" w14:textId="77777777" w:rsidR="003947E5" w:rsidRPr="000650AA" w:rsidRDefault="003947E5" w:rsidP="00986067">
            <w:pPr>
              <w:autoSpaceDE w:val="0"/>
              <w:autoSpaceDN w:val="0"/>
              <w:adjustRightInd w:val="0"/>
              <w:ind w:left="1134" w:hanging="1134"/>
              <w:jc w:val="center"/>
              <w:rPr>
                <w:b/>
                <w:sz w:val="20"/>
                <w:szCs w:val="20"/>
              </w:rPr>
            </w:pPr>
            <w:r w:rsidRPr="000650AA">
              <w:rPr>
                <w:b/>
                <w:sz w:val="20"/>
                <w:szCs w:val="20"/>
              </w:rPr>
              <w:t>%</w:t>
            </w:r>
          </w:p>
        </w:tc>
        <w:tc>
          <w:tcPr>
            <w:tcW w:w="1926" w:type="dxa"/>
            <w:vMerge/>
            <w:tcBorders>
              <w:bottom w:val="single" w:sz="4" w:space="0" w:color="auto"/>
            </w:tcBorders>
          </w:tcPr>
          <w:p w14:paraId="5086FEF0" w14:textId="77777777" w:rsidR="003947E5" w:rsidRPr="000650AA" w:rsidRDefault="003947E5" w:rsidP="00986067">
            <w:pPr>
              <w:autoSpaceDE w:val="0"/>
              <w:autoSpaceDN w:val="0"/>
              <w:adjustRightInd w:val="0"/>
              <w:ind w:left="1134" w:hanging="1134"/>
              <w:jc w:val="center"/>
              <w:rPr>
                <w:b/>
                <w:sz w:val="20"/>
                <w:szCs w:val="20"/>
              </w:rPr>
            </w:pPr>
          </w:p>
        </w:tc>
      </w:tr>
      <w:tr w:rsidR="003947E5" w:rsidRPr="000650AA" w14:paraId="5195A4DA" w14:textId="65EF0B09" w:rsidTr="003947E5">
        <w:trPr>
          <w:jc w:val="center"/>
        </w:trPr>
        <w:tc>
          <w:tcPr>
            <w:tcW w:w="1631" w:type="dxa"/>
            <w:tcBorders>
              <w:top w:val="single" w:sz="4" w:space="0" w:color="auto"/>
              <w:bottom w:val="single" w:sz="4" w:space="0" w:color="auto"/>
            </w:tcBorders>
            <w:hideMark/>
          </w:tcPr>
          <w:p w14:paraId="43AAA2BA"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Vulnerable</w:t>
            </w:r>
          </w:p>
          <w:p w14:paraId="04318088"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Not vulnerable</w:t>
            </w:r>
          </w:p>
        </w:tc>
        <w:tc>
          <w:tcPr>
            <w:tcW w:w="833" w:type="dxa"/>
            <w:tcBorders>
              <w:top w:val="single" w:sz="4" w:space="0" w:color="auto"/>
              <w:bottom w:val="single" w:sz="4" w:space="0" w:color="auto"/>
            </w:tcBorders>
            <w:hideMark/>
          </w:tcPr>
          <w:p w14:paraId="7A1C9567"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10</w:t>
            </w:r>
          </w:p>
          <w:p w14:paraId="359C92DE"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9</w:t>
            </w:r>
          </w:p>
        </w:tc>
        <w:tc>
          <w:tcPr>
            <w:tcW w:w="930" w:type="dxa"/>
            <w:tcBorders>
              <w:top w:val="single" w:sz="4" w:space="0" w:color="auto"/>
              <w:bottom w:val="single" w:sz="4" w:space="0" w:color="auto"/>
            </w:tcBorders>
            <w:hideMark/>
          </w:tcPr>
          <w:p w14:paraId="52BB31A1"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18,9</w:t>
            </w:r>
          </w:p>
          <w:p w14:paraId="726BC54D"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17,0</w:t>
            </w:r>
          </w:p>
        </w:tc>
        <w:tc>
          <w:tcPr>
            <w:tcW w:w="909" w:type="dxa"/>
            <w:tcBorders>
              <w:top w:val="single" w:sz="4" w:space="0" w:color="auto"/>
              <w:bottom w:val="single" w:sz="4" w:space="0" w:color="auto"/>
            </w:tcBorders>
            <w:hideMark/>
          </w:tcPr>
          <w:p w14:paraId="2B7D16AE"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8</w:t>
            </w:r>
          </w:p>
          <w:p w14:paraId="78DBE6DA"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26</w:t>
            </w:r>
          </w:p>
        </w:tc>
        <w:tc>
          <w:tcPr>
            <w:tcW w:w="964" w:type="dxa"/>
            <w:tcBorders>
              <w:top w:val="single" w:sz="4" w:space="0" w:color="auto"/>
              <w:bottom w:val="single" w:sz="4" w:space="0" w:color="auto"/>
            </w:tcBorders>
            <w:hideMark/>
          </w:tcPr>
          <w:p w14:paraId="27342AA3"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15,1</w:t>
            </w:r>
          </w:p>
          <w:p w14:paraId="17548935"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49,1</w:t>
            </w:r>
          </w:p>
        </w:tc>
        <w:tc>
          <w:tcPr>
            <w:tcW w:w="975" w:type="dxa"/>
            <w:tcBorders>
              <w:top w:val="single" w:sz="4" w:space="0" w:color="auto"/>
              <w:bottom w:val="single" w:sz="4" w:space="0" w:color="auto"/>
            </w:tcBorders>
            <w:hideMark/>
          </w:tcPr>
          <w:p w14:paraId="21206F80"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18</w:t>
            </w:r>
          </w:p>
          <w:p w14:paraId="746252A5"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35</w:t>
            </w:r>
          </w:p>
        </w:tc>
        <w:tc>
          <w:tcPr>
            <w:tcW w:w="1119" w:type="dxa"/>
            <w:tcBorders>
              <w:top w:val="single" w:sz="4" w:space="0" w:color="auto"/>
              <w:bottom w:val="single" w:sz="4" w:space="0" w:color="auto"/>
            </w:tcBorders>
            <w:hideMark/>
          </w:tcPr>
          <w:p w14:paraId="7B097947"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34,0</w:t>
            </w:r>
          </w:p>
          <w:p w14:paraId="357E83DE"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66,0</w:t>
            </w:r>
          </w:p>
        </w:tc>
        <w:tc>
          <w:tcPr>
            <w:tcW w:w="1926" w:type="dxa"/>
            <w:vMerge w:val="restart"/>
            <w:tcBorders>
              <w:top w:val="single" w:sz="4" w:space="0" w:color="auto"/>
            </w:tcBorders>
            <w:vAlign w:val="center"/>
          </w:tcPr>
          <w:p w14:paraId="1E874DE9" w14:textId="056EBA96" w:rsidR="003947E5" w:rsidRPr="000650AA" w:rsidRDefault="003947E5" w:rsidP="003947E5">
            <w:pPr>
              <w:autoSpaceDE w:val="0"/>
              <w:autoSpaceDN w:val="0"/>
              <w:adjustRightInd w:val="0"/>
              <w:ind w:left="1134" w:hanging="1134"/>
              <w:jc w:val="center"/>
              <w:rPr>
                <w:sz w:val="20"/>
                <w:szCs w:val="20"/>
              </w:rPr>
            </w:pPr>
            <w:r w:rsidRPr="00962372">
              <w:rPr>
                <w:sz w:val="20"/>
              </w:rPr>
              <w:t>0,040</w:t>
            </w:r>
          </w:p>
        </w:tc>
      </w:tr>
      <w:tr w:rsidR="003947E5" w:rsidRPr="000650AA" w14:paraId="719F5BE6" w14:textId="47C49DDD" w:rsidTr="00B85BD9">
        <w:trPr>
          <w:jc w:val="center"/>
        </w:trPr>
        <w:tc>
          <w:tcPr>
            <w:tcW w:w="1631" w:type="dxa"/>
            <w:tcBorders>
              <w:top w:val="single" w:sz="4" w:space="0" w:color="auto"/>
              <w:bottom w:val="single" w:sz="4" w:space="0" w:color="auto"/>
            </w:tcBorders>
            <w:hideMark/>
          </w:tcPr>
          <w:p w14:paraId="74E22ACA" w14:textId="77777777" w:rsidR="003947E5" w:rsidRPr="00A7178E" w:rsidRDefault="003947E5" w:rsidP="00986067">
            <w:pPr>
              <w:autoSpaceDE w:val="0"/>
              <w:autoSpaceDN w:val="0"/>
              <w:adjustRightInd w:val="0"/>
              <w:ind w:left="1134" w:hanging="1134"/>
              <w:jc w:val="both"/>
              <w:rPr>
                <w:b/>
                <w:sz w:val="20"/>
                <w:szCs w:val="20"/>
              </w:rPr>
            </w:pPr>
            <w:r w:rsidRPr="00A7178E">
              <w:rPr>
                <w:b/>
                <w:sz w:val="20"/>
                <w:szCs w:val="20"/>
              </w:rPr>
              <w:t xml:space="preserve">Total </w:t>
            </w:r>
          </w:p>
        </w:tc>
        <w:tc>
          <w:tcPr>
            <w:tcW w:w="833" w:type="dxa"/>
            <w:tcBorders>
              <w:top w:val="single" w:sz="4" w:space="0" w:color="auto"/>
              <w:bottom w:val="single" w:sz="4" w:space="0" w:color="auto"/>
            </w:tcBorders>
            <w:hideMark/>
          </w:tcPr>
          <w:p w14:paraId="2390814B"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19</w:t>
            </w:r>
          </w:p>
        </w:tc>
        <w:tc>
          <w:tcPr>
            <w:tcW w:w="930" w:type="dxa"/>
            <w:tcBorders>
              <w:top w:val="single" w:sz="4" w:space="0" w:color="auto"/>
              <w:bottom w:val="single" w:sz="4" w:space="0" w:color="auto"/>
            </w:tcBorders>
            <w:hideMark/>
          </w:tcPr>
          <w:p w14:paraId="79BCE219"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35,8</w:t>
            </w:r>
          </w:p>
        </w:tc>
        <w:tc>
          <w:tcPr>
            <w:tcW w:w="909" w:type="dxa"/>
            <w:tcBorders>
              <w:top w:val="single" w:sz="4" w:space="0" w:color="auto"/>
              <w:bottom w:val="single" w:sz="4" w:space="0" w:color="auto"/>
            </w:tcBorders>
            <w:hideMark/>
          </w:tcPr>
          <w:p w14:paraId="5E3AE0B3"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34</w:t>
            </w:r>
          </w:p>
        </w:tc>
        <w:tc>
          <w:tcPr>
            <w:tcW w:w="964" w:type="dxa"/>
            <w:tcBorders>
              <w:top w:val="single" w:sz="4" w:space="0" w:color="auto"/>
              <w:bottom w:val="single" w:sz="4" w:space="0" w:color="auto"/>
            </w:tcBorders>
            <w:hideMark/>
          </w:tcPr>
          <w:p w14:paraId="13CB2A64"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64,2</w:t>
            </w:r>
          </w:p>
        </w:tc>
        <w:tc>
          <w:tcPr>
            <w:tcW w:w="975" w:type="dxa"/>
            <w:tcBorders>
              <w:top w:val="single" w:sz="4" w:space="0" w:color="auto"/>
              <w:bottom w:val="single" w:sz="4" w:space="0" w:color="auto"/>
            </w:tcBorders>
            <w:hideMark/>
          </w:tcPr>
          <w:p w14:paraId="7425FF5D"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53</w:t>
            </w:r>
          </w:p>
        </w:tc>
        <w:tc>
          <w:tcPr>
            <w:tcW w:w="1119" w:type="dxa"/>
            <w:tcBorders>
              <w:top w:val="single" w:sz="4" w:space="0" w:color="auto"/>
              <w:bottom w:val="single" w:sz="4" w:space="0" w:color="auto"/>
            </w:tcBorders>
            <w:hideMark/>
          </w:tcPr>
          <w:p w14:paraId="70C28619"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100</w:t>
            </w:r>
          </w:p>
        </w:tc>
        <w:tc>
          <w:tcPr>
            <w:tcW w:w="1926" w:type="dxa"/>
            <w:vMerge/>
            <w:tcBorders>
              <w:bottom w:val="single" w:sz="4" w:space="0" w:color="auto"/>
            </w:tcBorders>
          </w:tcPr>
          <w:p w14:paraId="5CE9064B" w14:textId="77777777" w:rsidR="003947E5" w:rsidRPr="000650AA" w:rsidRDefault="003947E5" w:rsidP="00986067">
            <w:pPr>
              <w:autoSpaceDE w:val="0"/>
              <w:autoSpaceDN w:val="0"/>
              <w:adjustRightInd w:val="0"/>
              <w:ind w:left="1134" w:hanging="1134"/>
              <w:jc w:val="both"/>
              <w:rPr>
                <w:sz w:val="20"/>
                <w:szCs w:val="20"/>
              </w:rPr>
            </w:pPr>
          </w:p>
        </w:tc>
      </w:tr>
    </w:tbl>
    <w:p w14:paraId="34F9B3B4" w14:textId="77777777" w:rsidR="000650AA" w:rsidRPr="000650AA" w:rsidRDefault="000650AA" w:rsidP="000650AA">
      <w:pPr>
        <w:widowControl w:val="0"/>
        <w:autoSpaceDE w:val="0"/>
        <w:autoSpaceDN w:val="0"/>
        <w:adjustRightInd w:val="0"/>
        <w:jc w:val="both"/>
        <w:rPr>
          <w:b/>
          <w:sz w:val="20"/>
          <w:szCs w:val="20"/>
        </w:rPr>
      </w:pPr>
    </w:p>
    <w:p w14:paraId="1FF84DD3" w14:textId="77777777" w:rsidR="000650AA" w:rsidRPr="000650AA" w:rsidRDefault="000650AA" w:rsidP="00ED5751">
      <w:pPr>
        <w:autoSpaceDE w:val="0"/>
        <w:autoSpaceDN w:val="0"/>
        <w:adjustRightInd w:val="0"/>
        <w:ind w:firstLine="567"/>
        <w:jc w:val="both"/>
        <w:rPr>
          <w:sz w:val="20"/>
          <w:szCs w:val="20"/>
        </w:rPr>
      </w:pPr>
      <w:r w:rsidRPr="000650AA">
        <w:rPr>
          <w:sz w:val="20"/>
          <w:szCs w:val="20"/>
        </w:rPr>
        <w:t xml:space="preserve">Based on table 2, it can be seen that 10 respondents felt vulnerable to BGM and acted to prevent BGM and 9 respondents did not feel vulnerable to BGM and acted to prevent BGM as many as 9 people. From these results, it can be seen that respondents feel that they are more vulnerable to taking action to prevent BGM. The results of statistical tests obtained p value p value 0.040, which means p value &lt;α 0.25 variable selected for multiple logistic regression test. The result of multiple logistic regression </w:t>
      </w:r>
      <w:proofErr w:type="gramStart"/>
      <w:r w:rsidRPr="000650AA">
        <w:rPr>
          <w:sz w:val="20"/>
          <w:szCs w:val="20"/>
        </w:rPr>
        <w:t>test</w:t>
      </w:r>
      <w:proofErr w:type="gramEnd"/>
      <w:r w:rsidRPr="000650AA">
        <w:rPr>
          <w:sz w:val="20"/>
          <w:szCs w:val="20"/>
        </w:rPr>
        <w:t xml:space="preserve"> shows p value 0.36 &lt;α 0.05, meaning that there is a relationship between the perceived vulnerability of respondents to taking preventive measures for BGM toddlers.</w:t>
      </w:r>
      <w:bookmarkStart w:id="9" w:name="_Hlk56951944"/>
      <w:bookmarkEnd w:id="9"/>
    </w:p>
    <w:p w14:paraId="13CE5193" w14:textId="77777777" w:rsidR="000650AA" w:rsidRPr="000650AA" w:rsidRDefault="000650AA" w:rsidP="00ED5751">
      <w:pPr>
        <w:autoSpaceDE w:val="0"/>
        <w:autoSpaceDN w:val="0"/>
        <w:adjustRightInd w:val="0"/>
        <w:ind w:firstLine="567"/>
        <w:jc w:val="both"/>
        <w:rPr>
          <w:b/>
          <w:sz w:val="20"/>
          <w:szCs w:val="20"/>
        </w:rPr>
      </w:pPr>
    </w:p>
    <w:p w14:paraId="6D1C3789" w14:textId="77777777" w:rsidR="000650AA" w:rsidRPr="000650AA" w:rsidRDefault="000650AA" w:rsidP="000650AA">
      <w:pPr>
        <w:autoSpaceDE w:val="0"/>
        <w:autoSpaceDN w:val="0"/>
        <w:adjustRightInd w:val="0"/>
        <w:jc w:val="both"/>
        <w:rPr>
          <w:b/>
          <w:sz w:val="20"/>
          <w:szCs w:val="20"/>
        </w:rPr>
      </w:pPr>
      <w:r w:rsidRPr="000650AA">
        <w:rPr>
          <w:b/>
          <w:sz w:val="20"/>
          <w:szCs w:val="20"/>
        </w:rPr>
        <w:t>Perceived Severity of Mother's Actions in Preventing BGM</w:t>
      </w:r>
    </w:p>
    <w:p w14:paraId="6ED94350" w14:textId="6E8B7961" w:rsidR="000650AA" w:rsidRDefault="000650AA" w:rsidP="00ED5751">
      <w:pPr>
        <w:widowControl w:val="0"/>
        <w:autoSpaceDE w:val="0"/>
        <w:autoSpaceDN w:val="0"/>
        <w:adjustRightInd w:val="0"/>
        <w:ind w:firstLine="567"/>
        <w:jc w:val="both"/>
        <w:rPr>
          <w:sz w:val="20"/>
          <w:szCs w:val="20"/>
        </w:rPr>
      </w:pPr>
      <w:r w:rsidRPr="000650AA">
        <w:rPr>
          <w:sz w:val="20"/>
          <w:szCs w:val="20"/>
        </w:rPr>
        <w:t>This study used cross tabulation to determine the relationship between maternal severity and BGM prevention. This distribution can be seen in table 3 below:</w:t>
      </w:r>
    </w:p>
    <w:p w14:paraId="247EF3B5" w14:textId="77777777" w:rsidR="00AC0F20" w:rsidRPr="000650AA" w:rsidRDefault="00AC0F20" w:rsidP="000650AA">
      <w:pPr>
        <w:widowControl w:val="0"/>
        <w:autoSpaceDE w:val="0"/>
        <w:autoSpaceDN w:val="0"/>
        <w:adjustRightInd w:val="0"/>
        <w:jc w:val="both"/>
        <w:rPr>
          <w:b/>
          <w:sz w:val="20"/>
          <w:szCs w:val="20"/>
        </w:rPr>
      </w:pPr>
    </w:p>
    <w:p w14:paraId="6C2135AA" w14:textId="77777777" w:rsidR="000650AA" w:rsidRPr="000650AA" w:rsidRDefault="000650AA" w:rsidP="000650AA">
      <w:pPr>
        <w:autoSpaceDE w:val="0"/>
        <w:autoSpaceDN w:val="0"/>
        <w:adjustRightInd w:val="0"/>
        <w:jc w:val="center"/>
        <w:rPr>
          <w:sz w:val="20"/>
          <w:szCs w:val="20"/>
        </w:rPr>
      </w:pPr>
      <w:proofErr w:type="gramStart"/>
      <w:r w:rsidRPr="009D02E7">
        <w:rPr>
          <w:b/>
          <w:bCs/>
          <w:sz w:val="20"/>
          <w:szCs w:val="20"/>
        </w:rPr>
        <w:t>Table 3.</w:t>
      </w:r>
      <w:proofErr w:type="gramEnd"/>
      <w:r w:rsidRPr="000650AA">
        <w:rPr>
          <w:sz w:val="20"/>
          <w:szCs w:val="20"/>
        </w:rPr>
        <w:t xml:space="preserve"> The perceived severity of the behavior of BGM prevention mothers in the </w:t>
      </w:r>
      <w:proofErr w:type="spellStart"/>
      <w:r w:rsidRPr="000650AA">
        <w:rPr>
          <w:sz w:val="20"/>
          <w:szCs w:val="20"/>
        </w:rPr>
        <w:t>Wonokusumo</w:t>
      </w:r>
      <w:proofErr w:type="spellEnd"/>
      <w:r w:rsidRPr="000650AA">
        <w:rPr>
          <w:sz w:val="20"/>
          <w:szCs w:val="20"/>
        </w:rPr>
        <w:t xml:space="preserve"> Community Health Center Surabaya in 2019</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929"/>
        <w:gridCol w:w="1151"/>
        <w:gridCol w:w="887"/>
        <w:gridCol w:w="1193"/>
        <w:gridCol w:w="969"/>
        <w:gridCol w:w="1247"/>
        <w:gridCol w:w="1234"/>
      </w:tblGrid>
      <w:tr w:rsidR="003947E5" w:rsidRPr="000650AA" w14:paraId="669B0CBE" w14:textId="798343AA" w:rsidTr="00B85BD9">
        <w:trPr>
          <w:jc w:val="center"/>
        </w:trPr>
        <w:tc>
          <w:tcPr>
            <w:tcW w:w="1677" w:type="dxa"/>
            <w:vMerge w:val="restart"/>
            <w:tcBorders>
              <w:top w:val="single" w:sz="4" w:space="0" w:color="auto"/>
              <w:bottom w:val="single" w:sz="4" w:space="0" w:color="auto"/>
            </w:tcBorders>
            <w:hideMark/>
          </w:tcPr>
          <w:p w14:paraId="5114BEC8" w14:textId="77777777" w:rsidR="003947E5" w:rsidRPr="000650AA" w:rsidRDefault="003947E5" w:rsidP="00986067">
            <w:pPr>
              <w:autoSpaceDE w:val="0"/>
              <w:autoSpaceDN w:val="0"/>
              <w:adjustRightInd w:val="0"/>
              <w:jc w:val="center"/>
              <w:rPr>
                <w:b/>
                <w:sz w:val="20"/>
                <w:szCs w:val="20"/>
              </w:rPr>
            </w:pPr>
            <w:r w:rsidRPr="000650AA">
              <w:rPr>
                <w:b/>
                <w:sz w:val="20"/>
                <w:szCs w:val="20"/>
              </w:rPr>
              <w:t>Seriousness</w:t>
            </w:r>
          </w:p>
        </w:tc>
        <w:tc>
          <w:tcPr>
            <w:tcW w:w="4160" w:type="dxa"/>
            <w:gridSpan w:val="4"/>
            <w:tcBorders>
              <w:top w:val="single" w:sz="4" w:space="0" w:color="auto"/>
              <w:bottom w:val="single" w:sz="4" w:space="0" w:color="auto"/>
            </w:tcBorders>
            <w:hideMark/>
          </w:tcPr>
          <w:p w14:paraId="23E7DA72" w14:textId="77777777" w:rsidR="003947E5" w:rsidRPr="000650AA" w:rsidRDefault="003947E5" w:rsidP="00986067">
            <w:pPr>
              <w:autoSpaceDE w:val="0"/>
              <w:autoSpaceDN w:val="0"/>
              <w:adjustRightInd w:val="0"/>
              <w:jc w:val="center"/>
              <w:rPr>
                <w:b/>
                <w:sz w:val="20"/>
                <w:szCs w:val="20"/>
              </w:rPr>
            </w:pPr>
            <w:r w:rsidRPr="000650AA">
              <w:rPr>
                <w:b/>
                <w:sz w:val="20"/>
                <w:szCs w:val="20"/>
              </w:rPr>
              <w:t>BGM Prevention</w:t>
            </w:r>
          </w:p>
        </w:tc>
        <w:tc>
          <w:tcPr>
            <w:tcW w:w="2216" w:type="dxa"/>
            <w:gridSpan w:val="2"/>
            <w:vMerge w:val="restart"/>
            <w:tcBorders>
              <w:top w:val="single" w:sz="4" w:space="0" w:color="auto"/>
              <w:bottom w:val="single" w:sz="4" w:space="0" w:color="auto"/>
            </w:tcBorders>
            <w:hideMark/>
          </w:tcPr>
          <w:p w14:paraId="10B40E73" w14:textId="77777777" w:rsidR="003947E5" w:rsidRPr="000650AA" w:rsidRDefault="003947E5" w:rsidP="00986067">
            <w:pPr>
              <w:autoSpaceDE w:val="0"/>
              <w:autoSpaceDN w:val="0"/>
              <w:adjustRightInd w:val="0"/>
              <w:jc w:val="center"/>
              <w:rPr>
                <w:b/>
                <w:sz w:val="20"/>
                <w:szCs w:val="20"/>
              </w:rPr>
            </w:pPr>
            <w:r w:rsidRPr="000650AA">
              <w:rPr>
                <w:b/>
                <w:sz w:val="20"/>
                <w:szCs w:val="20"/>
              </w:rPr>
              <w:t>Amount</w:t>
            </w:r>
          </w:p>
        </w:tc>
        <w:tc>
          <w:tcPr>
            <w:tcW w:w="1234" w:type="dxa"/>
            <w:vMerge w:val="restart"/>
            <w:tcBorders>
              <w:top w:val="single" w:sz="4" w:space="0" w:color="auto"/>
            </w:tcBorders>
          </w:tcPr>
          <w:p w14:paraId="3BC7CA84" w14:textId="135812E9" w:rsidR="003947E5" w:rsidRPr="00962372" w:rsidRDefault="003947E5" w:rsidP="00986067">
            <w:pPr>
              <w:autoSpaceDE w:val="0"/>
              <w:autoSpaceDN w:val="0"/>
              <w:adjustRightInd w:val="0"/>
              <w:jc w:val="center"/>
              <w:rPr>
                <w:b/>
                <w:sz w:val="20"/>
                <w:szCs w:val="20"/>
              </w:rPr>
            </w:pPr>
            <w:r w:rsidRPr="00962372">
              <w:rPr>
                <w:b/>
                <w:sz w:val="20"/>
              </w:rPr>
              <w:t>p value</w:t>
            </w:r>
          </w:p>
        </w:tc>
      </w:tr>
      <w:tr w:rsidR="003947E5" w:rsidRPr="000650AA" w14:paraId="0DDBB0D4" w14:textId="7AB10A3C" w:rsidTr="00B85BD9">
        <w:trPr>
          <w:jc w:val="center"/>
        </w:trPr>
        <w:tc>
          <w:tcPr>
            <w:tcW w:w="1677" w:type="dxa"/>
            <w:vMerge/>
            <w:tcBorders>
              <w:top w:val="nil"/>
              <w:bottom w:val="single" w:sz="4" w:space="0" w:color="auto"/>
            </w:tcBorders>
            <w:vAlign w:val="center"/>
            <w:hideMark/>
          </w:tcPr>
          <w:p w14:paraId="6544D35A" w14:textId="77777777" w:rsidR="003947E5" w:rsidRPr="000650AA" w:rsidRDefault="003947E5" w:rsidP="00986067">
            <w:pPr>
              <w:autoSpaceDE w:val="0"/>
              <w:autoSpaceDN w:val="0"/>
              <w:adjustRightInd w:val="0"/>
              <w:jc w:val="center"/>
              <w:rPr>
                <w:b/>
                <w:sz w:val="20"/>
                <w:szCs w:val="20"/>
              </w:rPr>
            </w:pPr>
          </w:p>
        </w:tc>
        <w:tc>
          <w:tcPr>
            <w:tcW w:w="2080" w:type="dxa"/>
            <w:gridSpan w:val="2"/>
            <w:tcBorders>
              <w:top w:val="single" w:sz="4" w:space="0" w:color="auto"/>
              <w:bottom w:val="single" w:sz="4" w:space="0" w:color="auto"/>
            </w:tcBorders>
            <w:hideMark/>
          </w:tcPr>
          <w:p w14:paraId="1C6D06FA" w14:textId="77777777" w:rsidR="003947E5" w:rsidRPr="000650AA" w:rsidRDefault="003947E5" w:rsidP="00986067">
            <w:pPr>
              <w:autoSpaceDE w:val="0"/>
              <w:autoSpaceDN w:val="0"/>
              <w:adjustRightInd w:val="0"/>
              <w:jc w:val="center"/>
              <w:rPr>
                <w:b/>
                <w:sz w:val="20"/>
                <w:szCs w:val="20"/>
              </w:rPr>
            </w:pPr>
            <w:r w:rsidRPr="000650AA">
              <w:rPr>
                <w:b/>
                <w:sz w:val="20"/>
                <w:szCs w:val="20"/>
              </w:rPr>
              <w:t>Prevent</w:t>
            </w:r>
          </w:p>
        </w:tc>
        <w:tc>
          <w:tcPr>
            <w:tcW w:w="2080" w:type="dxa"/>
            <w:gridSpan w:val="2"/>
            <w:tcBorders>
              <w:top w:val="single" w:sz="4" w:space="0" w:color="auto"/>
              <w:bottom w:val="single" w:sz="4" w:space="0" w:color="auto"/>
            </w:tcBorders>
            <w:hideMark/>
          </w:tcPr>
          <w:p w14:paraId="1DB17226" w14:textId="77777777" w:rsidR="003947E5" w:rsidRPr="000650AA" w:rsidRDefault="003947E5" w:rsidP="00986067">
            <w:pPr>
              <w:autoSpaceDE w:val="0"/>
              <w:autoSpaceDN w:val="0"/>
              <w:adjustRightInd w:val="0"/>
              <w:jc w:val="center"/>
              <w:rPr>
                <w:b/>
                <w:sz w:val="20"/>
                <w:szCs w:val="20"/>
              </w:rPr>
            </w:pPr>
            <w:r w:rsidRPr="000650AA">
              <w:rPr>
                <w:b/>
                <w:sz w:val="20"/>
                <w:szCs w:val="20"/>
              </w:rPr>
              <w:t>Not prevent</w:t>
            </w:r>
          </w:p>
        </w:tc>
        <w:tc>
          <w:tcPr>
            <w:tcW w:w="2216" w:type="dxa"/>
            <w:gridSpan w:val="2"/>
            <w:vMerge/>
            <w:tcBorders>
              <w:top w:val="single" w:sz="4" w:space="0" w:color="auto"/>
              <w:bottom w:val="single" w:sz="4" w:space="0" w:color="auto"/>
            </w:tcBorders>
            <w:vAlign w:val="center"/>
            <w:hideMark/>
          </w:tcPr>
          <w:p w14:paraId="3B74E0AA" w14:textId="77777777" w:rsidR="003947E5" w:rsidRPr="000650AA" w:rsidRDefault="003947E5" w:rsidP="00986067">
            <w:pPr>
              <w:autoSpaceDE w:val="0"/>
              <w:autoSpaceDN w:val="0"/>
              <w:adjustRightInd w:val="0"/>
              <w:jc w:val="center"/>
              <w:rPr>
                <w:b/>
                <w:sz w:val="20"/>
                <w:szCs w:val="20"/>
              </w:rPr>
            </w:pPr>
          </w:p>
        </w:tc>
        <w:tc>
          <w:tcPr>
            <w:tcW w:w="1234" w:type="dxa"/>
            <w:vMerge/>
          </w:tcPr>
          <w:p w14:paraId="74E2894B" w14:textId="77777777" w:rsidR="003947E5" w:rsidRPr="00962372" w:rsidRDefault="003947E5" w:rsidP="00986067">
            <w:pPr>
              <w:autoSpaceDE w:val="0"/>
              <w:autoSpaceDN w:val="0"/>
              <w:adjustRightInd w:val="0"/>
              <w:jc w:val="center"/>
              <w:rPr>
                <w:b/>
                <w:sz w:val="20"/>
                <w:szCs w:val="20"/>
              </w:rPr>
            </w:pPr>
          </w:p>
        </w:tc>
      </w:tr>
      <w:tr w:rsidR="003947E5" w:rsidRPr="000650AA" w14:paraId="6EBA0A75" w14:textId="31B9F8DC" w:rsidTr="00B85BD9">
        <w:trPr>
          <w:trHeight w:val="130"/>
          <w:jc w:val="center"/>
        </w:trPr>
        <w:tc>
          <w:tcPr>
            <w:tcW w:w="1677" w:type="dxa"/>
            <w:vMerge/>
            <w:tcBorders>
              <w:top w:val="nil"/>
              <w:bottom w:val="single" w:sz="4" w:space="0" w:color="auto"/>
            </w:tcBorders>
            <w:vAlign w:val="center"/>
            <w:hideMark/>
          </w:tcPr>
          <w:p w14:paraId="401B6B0A" w14:textId="77777777" w:rsidR="003947E5" w:rsidRPr="000650AA" w:rsidRDefault="003947E5" w:rsidP="00986067">
            <w:pPr>
              <w:autoSpaceDE w:val="0"/>
              <w:autoSpaceDN w:val="0"/>
              <w:adjustRightInd w:val="0"/>
              <w:jc w:val="center"/>
              <w:rPr>
                <w:b/>
                <w:sz w:val="20"/>
                <w:szCs w:val="20"/>
              </w:rPr>
            </w:pPr>
          </w:p>
        </w:tc>
        <w:tc>
          <w:tcPr>
            <w:tcW w:w="929" w:type="dxa"/>
            <w:tcBorders>
              <w:top w:val="single" w:sz="4" w:space="0" w:color="auto"/>
              <w:bottom w:val="single" w:sz="4" w:space="0" w:color="auto"/>
            </w:tcBorders>
            <w:hideMark/>
          </w:tcPr>
          <w:p w14:paraId="76E6370C" w14:textId="77777777" w:rsidR="003947E5" w:rsidRPr="000650AA" w:rsidRDefault="003947E5" w:rsidP="00986067">
            <w:pPr>
              <w:autoSpaceDE w:val="0"/>
              <w:autoSpaceDN w:val="0"/>
              <w:adjustRightInd w:val="0"/>
              <w:jc w:val="center"/>
              <w:rPr>
                <w:b/>
                <w:sz w:val="20"/>
                <w:szCs w:val="20"/>
              </w:rPr>
            </w:pPr>
            <w:r w:rsidRPr="000650AA">
              <w:rPr>
                <w:b/>
                <w:sz w:val="20"/>
                <w:szCs w:val="20"/>
              </w:rPr>
              <w:t>N</w:t>
            </w:r>
          </w:p>
        </w:tc>
        <w:tc>
          <w:tcPr>
            <w:tcW w:w="1151" w:type="dxa"/>
            <w:tcBorders>
              <w:top w:val="single" w:sz="4" w:space="0" w:color="auto"/>
              <w:bottom w:val="single" w:sz="4" w:space="0" w:color="auto"/>
            </w:tcBorders>
            <w:hideMark/>
          </w:tcPr>
          <w:p w14:paraId="78DAAE15" w14:textId="77777777" w:rsidR="003947E5" w:rsidRPr="000650AA" w:rsidRDefault="003947E5" w:rsidP="00986067">
            <w:pPr>
              <w:autoSpaceDE w:val="0"/>
              <w:autoSpaceDN w:val="0"/>
              <w:adjustRightInd w:val="0"/>
              <w:jc w:val="center"/>
              <w:rPr>
                <w:b/>
                <w:sz w:val="20"/>
                <w:szCs w:val="20"/>
              </w:rPr>
            </w:pPr>
            <w:r w:rsidRPr="000650AA">
              <w:rPr>
                <w:b/>
                <w:sz w:val="20"/>
                <w:szCs w:val="20"/>
              </w:rPr>
              <w:t>%</w:t>
            </w:r>
          </w:p>
        </w:tc>
        <w:tc>
          <w:tcPr>
            <w:tcW w:w="887" w:type="dxa"/>
            <w:tcBorders>
              <w:top w:val="single" w:sz="4" w:space="0" w:color="auto"/>
              <w:bottom w:val="single" w:sz="4" w:space="0" w:color="auto"/>
            </w:tcBorders>
            <w:hideMark/>
          </w:tcPr>
          <w:p w14:paraId="78555D07" w14:textId="77777777" w:rsidR="003947E5" w:rsidRPr="000650AA" w:rsidRDefault="003947E5" w:rsidP="00986067">
            <w:pPr>
              <w:autoSpaceDE w:val="0"/>
              <w:autoSpaceDN w:val="0"/>
              <w:adjustRightInd w:val="0"/>
              <w:jc w:val="center"/>
              <w:rPr>
                <w:b/>
                <w:sz w:val="20"/>
                <w:szCs w:val="20"/>
              </w:rPr>
            </w:pPr>
            <w:r w:rsidRPr="000650AA">
              <w:rPr>
                <w:b/>
                <w:sz w:val="20"/>
                <w:szCs w:val="20"/>
              </w:rPr>
              <w:t>N</w:t>
            </w:r>
          </w:p>
        </w:tc>
        <w:tc>
          <w:tcPr>
            <w:tcW w:w="1193" w:type="dxa"/>
            <w:tcBorders>
              <w:top w:val="single" w:sz="4" w:space="0" w:color="auto"/>
              <w:bottom w:val="single" w:sz="4" w:space="0" w:color="auto"/>
            </w:tcBorders>
            <w:hideMark/>
          </w:tcPr>
          <w:p w14:paraId="7DDECA0E" w14:textId="77777777" w:rsidR="003947E5" w:rsidRPr="000650AA" w:rsidRDefault="003947E5" w:rsidP="00986067">
            <w:pPr>
              <w:autoSpaceDE w:val="0"/>
              <w:autoSpaceDN w:val="0"/>
              <w:adjustRightInd w:val="0"/>
              <w:jc w:val="center"/>
              <w:rPr>
                <w:b/>
                <w:sz w:val="20"/>
                <w:szCs w:val="20"/>
              </w:rPr>
            </w:pPr>
            <w:r w:rsidRPr="000650AA">
              <w:rPr>
                <w:b/>
                <w:sz w:val="20"/>
                <w:szCs w:val="20"/>
              </w:rPr>
              <w:t>%</w:t>
            </w:r>
          </w:p>
        </w:tc>
        <w:tc>
          <w:tcPr>
            <w:tcW w:w="969" w:type="dxa"/>
            <w:tcBorders>
              <w:top w:val="single" w:sz="4" w:space="0" w:color="auto"/>
              <w:bottom w:val="single" w:sz="4" w:space="0" w:color="auto"/>
            </w:tcBorders>
            <w:hideMark/>
          </w:tcPr>
          <w:p w14:paraId="66FA664E" w14:textId="77777777" w:rsidR="003947E5" w:rsidRPr="000650AA" w:rsidRDefault="003947E5" w:rsidP="00986067">
            <w:pPr>
              <w:autoSpaceDE w:val="0"/>
              <w:autoSpaceDN w:val="0"/>
              <w:adjustRightInd w:val="0"/>
              <w:jc w:val="center"/>
              <w:rPr>
                <w:b/>
                <w:sz w:val="20"/>
                <w:szCs w:val="20"/>
              </w:rPr>
            </w:pPr>
            <w:r w:rsidRPr="000650AA">
              <w:rPr>
                <w:b/>
                <w:sz w:val="20"/>
                <w:szCs w:val="20"/>
              </w:rPr>
              <w:t>n</w:t>
            </w:r>
          </w:p>
        </w:tc>
        <w:tc>
          <w:tcPr>
            <w:tcW w:w="1247" w:type="dxa"/>
            <w:tcBorders>
              <w:top w:val="single" w:sz="4" w:space="0" w:color="auto"/>
              <w:bottom w:val="single" w:sz="4" w:space="0" w:color="auto"/>
            </w:tcBorders>
            <w:hideMark/>
          </w:tcPr>
          <w:p w14:paraId="2F33BBD8" w14:textId="77777777" w:rsidR="003947E5" w:rsidRPr="000650AA" w:rsidRDefault="003947E5" w:rsidP="00986067">
            <w:pPr>
              <w:autoSpaceDE w:val="0"/>
              <w:autoSpaceDN w:val="0"/>
              <w:adjustRightInd w:val="0"/>
              <w:jc w:val="center"/>
              <w:rPr>
                <w:b/>
                <w:sz w:val="20"/>
                <w:szCs w:val="20"/>
              </w:rPr>
            </w:pPr>
            <w:r w:rsidRPr="000650AA">
              <w:rPr>
                <w:b/>
                <w:sz w:val="20"/>
                <w:szCs w:val="20"/>
              </w:rPr>
              <w:t>%</w:t>
            </w:r>
          </w:p>
        </w:tc>
        <w:tc>
          <w:tcPr>
            <w:tcW w:w="1234" w:type="dxa"/>
            <w:vMerge/>
            <w:tcBorders>
              <w:bottom w:val="single" w:sz="4" w:space="0" w:color="auto"/>
            </w:tcBorders>
          </w:tcPr>
          <w:p w14:paraId="468CD814" w14:textId="77777777" w:rsidR="003947E5" w:rsidRPr="00962372" w:rsidRDefault="003947E5" w:rsidP="00986067">
            <w:pPr>
              <w:autoSpaceDE w:val="0"/>
              <w:autoSpaceDN w:val="0"/>
              <w:adjustRightInd w:val="0"/>
              <w:jc w:val="center"/>
              <w:rPr>
                <w:b/>
                <w:sz w:val="20"/>
                <w:szCs w:val="20"/>
              </w:rPr>
            </w:pPr>
          </w:p>
        </w:tc>
      </w:tr>
      <w:tr w:rsidR="003947E5" w:rsidRPr="000650AA" w14:paraId="54BD70E9" w14:textId="244A4E09" w:rsidTr="003947E5">
        <w:trPr>
          <w:jc w:val="center"/>
        </w:trPr>
        <w:tc>
          <w:tcPr>
            <w:tcW w:w="1677" w:type="dxa"/>
            <w:tcBorders>
              <w:top w:val="single" w:sz="4" w:space="0" w:color="auto"/>
              <w:bottom w:val="single" w:sz="4" w:space="0" w:color="auto"/>
            </w:tcBorders>
            <w:hideMark/>
          </w:tcPr>
          <w:p w14:paraId="72302529" w14:textId="77777777" w:rsidR="003947E5" w:rsidRPr="000650AA" w:rsidRDefault="003947E5" w:rsidP="00986067">
            <w:pPr>
              <w:autoSpaceDE w:val="0"/>
              <w:autoSpaceDN w:val="0"/>
              <w:adjustRightInd w:val="0"/>
              <w:jc w:val="both"/>
              <w:rPr>
                <w:sz w:val="20"/>
                <w:szCs w:val="20"/>
              </w:rPr>
            </w:pPr>
            <w:r w:rsidRPr="000650AA">
              <w:rPr>
                <w:sz w:val="20"/>
                <w:szCs w:val="20"/>
              </w:rPr>
              <w:t xml:space="preserve">Critical </w:t>
            </w:r>
          </w:p>
          <w:p w14:paraId="3C0E7D12" w14:textId="77777777" w:rsidR="003947E5" w:rsidRPr="000650AA" w:rsidRDefault="003947E5" w:rsidP="00986067">
            <w:pPr>
              <w:autoSpaceDE w:val="0"/>
              <w:autoSpaceDN w:val="0"/>
              <w:adjustRightInd w:val="0"/>
              <w:jc w:val="both"/>
              <w:rPr>
                <w:sz w:val="20"/>
                <w:szCs w:val="20"/>
              </w:rPr>
            </w:pPr>
            <w:r w:rsidRPr="000650AA">
              <w:rPr>
                <w:sz w:val="20"/>
                <w:szCs w:val="20"/>
              </w:rPr>
              <w:t>Not critical</w:t>
            </w:r>
          </w:p>
        </w:tc>
        <w:tc>
          <w:tcPr>
            <w:tcW w:w="929" w:type="dxa"/>
            <w:tcBorders>
              <w:top w:val="single" w:sz="4" w:space="0" w:color="auto"/>
              <w:bottom w:val="single" w:sz="4" w:space="0" w:color="auto"/>
            </w:tcBorders>
            <w:hideMark/>
          </w:tcPr>
          <w:p w14:paraId="12E0FA07" w14:textId="77777777" w:rsidR="003947E5" w:rsidRPr="000650AA" w:rsidRDefault="003947E5" w:rsidP="00986067">
            <w:pPr>
              <w:autoSpaceDE w:val="0"/>
              <w:autoSpaceDN w:val="0"/>
              <w:adjustRightInd w:val="0"/>
              <w:jc w:val="both"/>
              <w:rPr>
                <w:sz w:val="20"/>
                <w:szCs w:val="20"/>
              </w:rPr>
            </w:pPr>
            <w:r w:rsidRPr="000650AA">
              <w:rPr>
                <w:sz w:val="20"/>
                <w:szCs w:val="20"/>
              </w:rPr>
              <w:t>10</w:t>
            </w:r>
          </w:p>
          <w:p w14:paraId="5BE493E4" w14:textId="77777777" w:rsidR="003947E5" w:rsidRPr="000650AA" w:rsidRDefault="003947E5" w:rsidP="00986067">
            <w:pPr>
              <w:autoSpaceDE w:val="0"/>
              <w:autoSpaceDN w:val="0"/>
              <w:adjustRightInd w:val="0"/>
              <w:jc w:val="both"/>
              <w:rPr>
                <w:sz w:val="20"/>
                <w:szCs w:val="20"/>
              </w:rPr>
            </w:pPr>
            <w:r w:rsidRPr="000650AA">
              <w:rPr>
                <w:sz w:val="20"/>
                <w:szCs w:val="20"/>
              </w:rPr>
              <w:t>9</w:t>
            </w:r>
          </w:p>
        </w:tc>
        <w:tc>
          <w:tcPr>
            <w:tcW w:w="1151" w:type="dxa"/>
            <w:tcBorders>
              <w:top w:val="single" w:sz="4" w:space="0" w:color="auto"/>
              <w:bottom w:val="single" w:sz="4" w:space="0" w:color="auto"/>
            </w:tcBorders>
            <w:hideMark/>
          </w:tcPr>
          <w:p w14:paraId="6B0A7841" w14:textId="77777777" w:rsidR="003947E5" w:rsidRPr="000650AA" w:rsidRDefault="003947E5" w:rsidP="00986067">
            <w:pPr>
              <w:autoSpaceDE w:val="0"/>
              <w:autoSpaceDN w:val="0"/>
              <w:adjustRightInd w:val="0"/>
              <w:jc w:val="both"/>
              <w:rPr>
                <w:sz w:val="20"/>
                <w:szCs w:val="20"/>
              </w:rPr>
            </w:pPr>
            <w:r w:rsidRPr="000650AA">
              <w:rPr>
                <w:sz w:val="20"/>
                <w:szCs w:val="20"/>
              </w:rPr>
              <w:t>18,9</w:t>
            </w:r>
          </w:p>
          <w:p w14:paraId="0BB43B12" w14:textId="77777777" w:rsidR="003947E5" w:rsidRPr="000650AA" w:rsidRDefault="003947E5" w:rsidP="00986067">
            <w:pPr>
              <w:autoSpaceDE w:val="0"/>
              <w:autoSpaceDN w:val="0"/>
              <w:adjustRightInd w:val="0"/>
              <w:jc w:val="both"/>
              <w:rPr>
                <w:sz w:val="20"/>
                <w:szCs w:val="20"/>
              </w:rPr>
            </w:pPr>
            <w:r w:rsidRPr="000650AA">
              <w:rPr>
                <w:sz w:val="20"/>
                <w:szCs w:val="20"/>
              </w:rPr>
              <w:t>17,0</w:t>
            </w:r>
          </w:p>
        </w:tc>
        <w:tc>
          <w:tcPr>
            <w:tcW w:w="887" w:type="dxa"/>
            <w:tcBorders>
              <w:top w:val="single" w:sz="4" w:space="0" w:color="auto"/>
              <w:bottom w:val="single" w:sz="4" w:space="0" w:color="auto"/>
            </w:tcBorders>
            <w:hideMark/>
          </w:tcPr>
          <w:p w14:paraId="1C4AD2C5" w14:textId="77777777" w:rsidR="003947E5" w:rsidRPr="000650AA" w:rsidRDefault="003947E5" w:rsidP="00986067">
            <w:pPr>
              <w:autoSpaceDE w:val="0"/>
              <w:autoSpaceDN w:val="0"/>
              <w:adjustRightInd w:val="0"/>
              <w:jc w:val="both"/>
              <w:rPr>
                <w:sz w:val="20"/>
                <w:szCs w:val="20"/>
              </w:rPr>
            </w:pPr>
            <w:r w:rsidRPr="000650AA">
              <w:rPr>
                <w:sz w:val="20"/>
                <w:szCs w:val="20"/>
              </w:rPr>
              <w:t>10</w:t>
            </w:r>
          </w:p>
          <w:p w14:paraId="7D849000" w14:textId="77777777" w:rsidR="003947E5" w:rsidRPr="000650AA" w:rsidRDefault="003947E5" w:rsidP="00986067">
            <w:pPr>
              <w:autoSpaceDE w:val="0"/>
              <w:autoSpaceDN w:val="0"/>
              <w:adjustRightInd w:val="0"/>
              <w:jc w:val="both"/>
              <w:rPr>
                <w:sz w:val="20"/>
                <w:szCs w:val="20"/>
              </w:rPr>
            </w:pPr>
            <w:r w:rsidRPr="000650AA">
              <w:rPr>
                <w:sz w:val="20"/>
                <w:szCs w:val="20"/>
              </w:rPr>
              <w:t>24</w:t>
            </w:r>
          </w:p>
        </w:tc>
        <w:tc>
          <w:tcPr>
            <w:tcW w:w="1193" w:type="dxa"/>
            <w:tcBorders>
              <w:top w:val="single" w:sz="4" w:space="0" w:color="auto"/>
              <w:bottom w:val="single" w:sz="4" w:space="0" w:color="auto"/>
            </w:tcBorders>
            <w:hideMark/>
          </w:tcPr>
          <w:p w14:paraId="6195584B" w14:textId="77777777" w:rsidR="003947E5" w:rsidRPr="000650AA" w:rsidRDefault="003947E5" w:rsidP="00986067">
            <w:pPr>
              <w:autoSpaceDE w:val="0"/>
              <w:autoSpaceDN w:val="0"/>
              <w:adjustRightInd w:val="0"/>
              <w:jc w:val="both"/>
              <w:rPr>
                <w:sz w:val="20"/>
                <w:szCs w:val="20"/>
              </w:rPr>
            </w:pPr>
            <w:r w:rsidRPr="000650AA">
              <w:rPr>
                <w:sz w:val="20"/>
                <w:szCs w:val="20"/>
              </w:rPr>
              <w:t>26,4</w:t>
            </w:r>
          </w:p>
          <w:p w14:paraId="39691EAC" w14:textId="77777777" w:rsidR="003947E5" w:rsidRPr="000650AA" w:rsidRDefault="003947E5" w:rsidP="00986067">
            <w:pPr>
              <w:autoSpaceDE w:val="0"/>
              <w:autoSpaceDN w:val="0"/>
              <w:adjustRightInd w:val="0"/>
              <w:jc w:val="both"/>
              <w:rPr>
                <w:sz w:val="20"/>
                <w:szCs w:val="20"/>
              </w:rPr>
            </w:pPr>
            <w:r w:rsidRPr="000650AA">
              <w:rPr>
                <w:sz w:val="20"/>
                <w:szCs w:val="20"/>
              </w:rPr>
              <w:t>37,7</w:t>
            </w:r>
          </w:p>
        </w:tc>
        <w:tc>
          <w:tcPr>
            <w:tcW w:w="969" w:type="dxa"/>
            <w:tcBorders>
              <w:top w:val="single" w:sz="4" w:space="0" w:color="auto"/>
              <w:bottom w:val="single" w:sz="4" w:space="0" w:color="auto"/>
            </w:tcBorders>
            <w:hideMark/>
          </w:tcPr>
          <w:p w14:paraId="10CA75C4" w14:textId="77777777" w:rsidR="003947E5" w:rsidRPr="000650AA" w:rsidRDefault="003947E5" w:rsidP="00986067">
            <w:pPr>
              <w:autoSpaceDE w:val="0"/>
              <w:autoSpaceDN w:val="0"/>
              <w:adjustRightInd w:val="0"/>
              <w:jc w:val="both"/>
              <w:rPr>
                <w:sz w:val="20"/>
                <w:szCs w:val="20"/>
              </w:rPr>
            </w:pPr>
            <w:r w:rsidRPr="000650AA">
              <w:rPr>
                <w:sz w:val="20"/>
                <w:szCs w:val="20"/>
              </w:rPr>
              <w:t>24</w:t>
            </w:r>
          </w:p>
          <w:p w14:paraId="4214AC68" w14:textId="77777777" w:rsidR="003947E5" w:rsidRPr="000650AA" w:rsidRDefault="003947E5" w:rsidP="00986067">
            <w:pPr>
              <w:autoSpaceDE w:val="0"/>
              <w:autoSpaceDN w:val="0"/>
              <w:adjustRightInd w:val="0"/>
              <w:jc w:val="both"/>
              <w:rPr>
                <w:sz w:val="20"/>
                <w:szCs w:val="20"/>
              </w:rPr>
            </w:pPr>
            <w:r w:rsidRPr="000650AA">
              <w:rPr>
                <w:sz w:val="20"/>
                <w:szCs w:val="20"/>
              </w:rPr>
              <w:t>29</w:t>
            </w:r>
          </w:p>
        </w:tc>
        <w:tc>
          <w:tcPr>
            <w:tcW w:w="1247" w:type="dxa"/>
            <w:tcBorders>
              <w:top w:val="single" w:sz="4" w:space="0" w:color="auto"/>
              <w:bottom w:val="single" w:sz="4" w:space="0" w:color="auto"/>
            </w:tcBorders>
            <w:hideMark/>
          </w:tcPr>
          <w:p w14:paraId="2E26E135" w14:textId="77777777" w:rsidR="003947E5" w:rsidRPr="000650AA" w:rsidRDefault="003947E5" w:rsidP="00986067">
            <w:pPr>
              <w:autoSpaceDE w:val="0"/>
              <w:autoSpaceDN w:val="0"/>
              <w:adjustRightInd w:val="0"/>
              <w:jc w:val="both"/>
              <w:rPr>
                <w:sz w:val="20"/>
                <w:szCs w:val="20"/>
              </w:rPr>
            </w:pPr>
            <w:r w:rsidRPr="000650AA">
              <w:rPr>
                <w:sz w:val="20"/>
                <w:szCs w:val="20"/>
              </w:rPr>
              <w:t>45,3</w:t>
            </w:r>
          </w:p>
          <w:p w14:paraId="249A7669" w14:textId="77777777" w:rsidR="003947E5" w:rsidRPr="000650AA" w:rsidRDefault="003947E5" w:rsidP="00986067">
            <w:pPr>
              <w:autoSpaceDE w:val="0"/>
              <w:autoSpaceDN w:val="0"/>
              <w:adjustRightInd w:val="0"/>
              <w:jc w:val="both"/>
              <w:rPr>
                <w:sz w:val="20"/>
                <w:szCs w:val="20"/>
              </w:rPr>
            </w:pPr>
            <w:r w:rsidRPr="000650AA">
              <w:rPr>
                <w:sz w:val="20"/>
                <w:szCs w:val="20"/>
              </w:rPr>
              <w:t>54,7</w:t>
            </w:r>
          </w:p>
        </w:tc>
        <w:tc>
          <w:tcPr>
            <w:tcW w:w="1234" w:type="dxa"/>
            <w:vMerge w:val="restart"/>
            <w:tcBorders>
              <w:top w:val="single" w:sz="4" w:space="0" w:color="auto"/>
            </w:tcBorders>
            <w:vAlign w:val="center"/>
          </w:tcPr>
          <w:p w14:paraId="51A06FC8" w14:textId="14F0F849" w:rsidR="003947E5" w:rsidRPr="00962372" w:rsidRDefault="00A22804" w:rsidP="003947E5">
            <w:pPr>
              <w:autoSpaceDE w:val="0"/>
              <w:autoSpaceDN w:val="0"/>
              <w:adjustRightInd w:val="0"/>
              <w:jc w:val="center"/>
              <w:rPr>
                <w:sz w:val="20"/>
                <w:szCs w:val="20"/>
              </w:rPr>
            </w:pPr>
            <w:r w:rsidRPr="00962372">
              <w:rPr>
                <w:sz w:val="20"/>
              </w:rPr>
              <w:t>0</w:t>
            </w:r>
            <w:r w:rsidRPr="00962372">
              <w:rPr>
                <w:sz w:val="20"/>
                <w:lang w:val="id-ID"/>
              </w:rPr>
              <w:t>.</w:t>
            </w:r>
            <w:r w:rsidR="003947E5" w:rsidRPr="00962372">
              <w:rPr>
                <w:sz w:val="20"/>
              </w:rPr>
              <w:t>566</w:t>
            </w:r>
          </w:p>
        </w:tc>
      </w:tr>
      <w:tr w:rsidR="003947E5" w:rsidRPr="000650AA" w14:paraId="239A157C" w14:textId="12ED348F" w:rsidTr="00B85BD9">
        <w:trPr>
          <w:jc w:val="center"/>
        </w:trPr>
        <w:tc>
          <w:tcPr>
            <w:tcW w:w="1677" w:type="dxa"/>
            <w:tcBorders>
              <w:top w:val="single" w:sz="4" w:space="0" w:color="auto"/>
              <w:bottom w:val="single" w:sz="4" w:space="0" w:color="auto"/>
            </w:tcBorders>
            <w:hideMark/>
          </w:tcPr>
          <w:p w14:paraId="02A18186" w14:textId="77777777" w:rsidR="003947E5" w:rsidRPr="00A7178E" w:rsidRDefault="003947E5" w:rsidP="00986067">
            <w:pPr>
              <w:autoSpaceDE w:val="0"/>
              <w:autoSpaceDN w:val="0"/>
              <w:adjustRightInd w:val="0"/>
              <w:jc w:val="both"/>
              <w:rPr>
                <w:b/>
                <w:sz w:val="20"/>
                <w:szCs w:val="20"/>
              </w:rPr>
            </w:pPr>
            <w:r w:rsidRPr="00A7178E">
              <w:rPr>
                <w:b/>
                <w:sz w:val="20"/>
                <w:szCs w:val="20"/>
              </w:rPr>
              <w:t xml:space="preserve">Total </w:t>
            </w:r>
          </w:p>
        </w:tc>
        <w:tc>
          <w:tcPr>
            <w:tcW w:w="929" w:type="dxa"/>
            <w:tcBorders>
              <w:top w:val="single" w:sz="4" w:space="0" w:color="auto"/>
              <w:bottom w:val="single" w:sz="4" w:space="0" w:color="auto"/>
            </w:tcBorders>
            <w:hideMark/>
          </w:tcPr>
          <w:p w14:paraId="08F2B438" w14:textId="77777777" w:rsidR="003947E5" w:rsidRPr="000650AA" w:rsidRDefault="003947E5" w:rsidP="00986067">
            <w:pPr>
              <w:autoSpaceDE w:val="0"/>
              <w:autoSpaceDN w:val="0"/>
              <w:adjustRightInd w:val="0"/>
              <w:jc w:val="both"/>
              <w:rPr>
                <w:sz w:val="20"/>
                <w:szCs w:val="20"/>
              </w:rPr>
            </w:pPr>
            <w:r w:rsidRPr="000650AA">
              <w:rPr>
                <w:sz w:val="20"/>
                <w:szCs w:val="20"/>
              </w:rPr>
              <w:t>19</w:t>
            </w:r>
          </w:p>
        </w:tc>
        <w:tc>
          <w:tcPr>
            <w:tcW w:w="1151" w:type="dxa"/>
            <w:tcBorders>
              <w:top w:val="single" w:sz="4" w:space="0" w:color="auto"/>
              <w:bottom w:val="single" w:sz="4" w:space="0" w:color="auto"/>
            </w:tcBorders>
            <w:hideMark/>
          </w:tcPr>
          <w:p w14:paraId="61F88736" w14:textId="77777777" w:rsidR="003947E5" w:rsidRPr="000650AA" w:rsidRDefault="003947E5" w:rsidP="00986067">
            <w:pPr>
              <w:autoSpaceDE w:val="0"/>
              <w:autoSpaceDN w:val="0"/>
              <w:adjustRightInd w:val="0"/>
              <w:jc w:val="both"/>
              <w:rPr>
                <w:sz w:val="20"/>
                <w:szCs w:val="20"/>
              </w:rPr>
            </w:pPr>
            <w:r w:rsidRPr="000650AA">
              <w:rPr>
                <w:sz w:val="20"/>
                <w:szCs w:val="20"/>
              </w:rPr>
              <w:t>35,8</w:t>
            </w:r>
          </w:p>
        </w:tc>
        <w:tc>
          <w:tcPr>
            <w:tcW w:w="887" w:type="dxa"/>
            <w:tcBorders>
              <w:top w:val="single" w:sz="4" w:space="0" w:color="auto"/>
              <w:bottom w:val="single" w:sz="4" w:space="0" w:color="auto"/>
            </w:tcBorders>
            <w:hideMark/>
          </w:tcPr>
          <w:p w14:paraId="1667FC4D" w14:textId="77777777" w:rsidR="003947E5" w:rsidRPr="000650AA" w:rsidRDefault="003947E5" w:rsidP="00986067">
            <w:pPr>
              <w:autoSpaceDE w:val="0"/>
              <w:autoSpaceDN w:val="0"/>
              <w:adjustRightInd w:val="0"/>
              <w:jc w:val="both"/>
              <w:rPr>
                <w:sz w:val="20"/>
                <w:szCs w:val="20"/>
              </w:rPr>
            </w:pPr>
            <w:r w:rsidRPr="000650AA">
              <w:rPr>
                <w:sz w:val="20"/>
                <w:szCs w:val="20"/>
              </w:rPr>
              <w:t>34</w:t>
            </w:r>
          </w:p>
        </w:tc>
        <w:tc>
          <w:tcPr>
            <w:tcW w:w="1193" w:type="dxa"/>
            <w:tcBorders>
              <w:top w:val="single" w:sz="4" w:space="0" w:color="auto"/>
              <w:bottom w:val="single" w:sz="4" w:space="0" w:color="auto"/>
            </w:tcBorders>
            <w:hideMark/>
          </w:tcPr>
          <w:p w14:paraId="2E46CA6D" w14:textId="77777777" w:rsidR="003947E5" w:rsidRPr="000650AA" w:rsidRDefault="003947E5" w:rsidP="00986067">
            <w:pPr>
              <w:autoSpaceDE w:val="0"/>
              <w:autoSpaceDN w:val="0"/>
              <w:adjustRightInd w:val="0"/>
              <w:jc w:val="both"/>
              <w:rPr>
                <w:sz w:val="20"/>
                <w:szCs w:val="20"/>
              </w:rPr>
            </w:pPr>
            <w:r w:rsidRPr="000650AA">
              <w:rPr>
                <w:sz w:val="20"/>
                <w:szCs w:val="20"/>
              </w:rPr>
              <w:t>64,2</w:t>
            </w:r>
          </w:p>
        </w:tc>
        <w:tc>
          <w:tcPr>
            <w:tcW w:w="969" w:type="dxa"/>
            <w:tcBorders>
              <w:top w:val="single" w:sz="4" w:space="0" w:color="auto"/>
              <w:bottom w:val="single" w:sz="4" w:space="0" w:color="auto"/>
            </w:tcBorders>
            <w:hideMark/>
          </w:tcPr>
          <w:p w14:paraId="6CD070C4" w14:textId="77777777" w:rsidR="003947E5" w:rsidRPr="000650AA" w:rsidRDefault="003947E5" w:rsidP="00986067">
            <w:pPr>
              <w:autoSpaceDE w:val="0"/>
              <w:autoSpaceDN w:val="0"/>
              <w:adjustRightInd w:val="0"/>
              <w:jc w:val="both"/>
              <w:rPr>
                <w:sz w:val="20"/>
                <w:szCs w:val="20"/>
              </w:rPr>
            </w:pPr>
            <w:r w:rsidRPr="000650AA">
              <w:rPr>
                <w:sz w:val="20"/>
                <w:szCs w:val="20"/>
              </w:rPr>
              <w:t>53</w:t>
            </w:r>
          </w:p>
        </w:tc>
        <w:tc>
          <w:tcPr>
            <w:tcW w:w="1247" w:type="dxa"/>
            <w:tcBorders>
              <w:top w:val="single" w:sz="4" w:space="0" w:color="auto"/>
              <w:bottom w:val="single" w:sz="4" w:space="0" w:color="auto"/>
            </w:tcBorders>
            <w:hideMark/>
          </w:tcPr>
          <w:p w14:paraId="1382FFC0" w14:textId="77777777" w:rsidR="003947E5" w:rsidRPr="000650AA" w:rsidRDefault="003947E5" w:rsidP="00986067">
            <w:pPr>
              <w:autoSpaceDE w:val="0"/>
              <w:autoSpaceDN w:val="0"/>
              <w:adjustRightInd w:val="0"/>
              <w:jc w:val="both"/>
              <w:rPr>
                <w:sz w:val="20"/>
                <w:szCs w:val="20"/>
              </w:rPr>
            </w:pPr>
            <w:r w:rsidRPr="000650AA">
              <w:rPr>
                <w:sz w:val="20"/>
                <w:szCs w:val="20"/>
              </w:rPr>
              <w:t>100</w:t>
            </w:r>
          </w:p>
        </w:tc>
        <w:tc>
          <w:tcPr>
            <w:tcW w:w="1234" w:type="dxa"/>
            <w:vMerge/>
            <w:tcBorders>
              <w:bottom w:val="single" w:sz="4" w:space="0" w:color="auto"/>
            </w:tcBorders>
          </w:tcPr>
          <w:p w14:paraId="310610D1" w14:textId="77777777" w:rsidR="003947E5" w:rsidRPr="000650AA" w:rsidRDefault="003947E5" w:rsidP="00986067">
            <w:pPr>
              <w:autoSpaceDE w:val="0"/>
              <w:autoSpaceDN w:val="0"/>
              <w:adjustRightInd w:val="0"/>
              <w:jc w:val="both"/>
              <w:rPr>
                <w:sz w:val="20"/>
                <w:szCs w:val="20"/>
              </w:rPr>
            </w:pPr>
          </w:p>
        </w:tc>
      </w:tr>
    </w:tbl>
    <w:p w14:paraId="4136E67C" w14:textId="77777777" w:rsidR="000650AA" w:rsidRPr="000650AA" w:rsidRDefault="000650AA" w:rsidP="00ED5751">
      <w:pPr>
        <w:autoSpaceDE w:val="0"/>
        <w:autoSpaceDN w:val="0"/>
        <w:adjustRightInd w:val="0"/>
        <w:ind w:firstLine="567"/>
        <w:jc w:val="both"/>
        <w:rPr>
          <w:sz w:val="20"/>
          <w:szCs w:val="20"/>
        </w:rPr>
      </w:pPr>
      <w:r w:rsidRPr="000650AA">
        <w:rPr>
          <w:sz w:val="20"/>
          <w:szCs w:val="20"/>
        </w:rPr>
        <w:t xml:space="preserve">Based on table 3, it can be seen that 10 respondents felt the severity of BGM and acted to prevent BGM and 9 respondents did not feel the severity of BGM and acted to prevent BGM as many as 9 people. From these results it can be seen that the respondents did not feel the severity so they did not take action to prevent BGM. The results of statistical tests obtained p value 0.566, which means that the p value&gt; α 0.25 was not selected to </w:t>
      </w:r>
      <w:r w:rsidRPr="000650AA">
        <w:rPr>
          <w:sz w:val="20"/>
          <w:szCs w:val="20"/>
        </w:rPr>
        <w:lastRenderedPageBreak/>
        <w:t>perform multiple logistic regression tests and there was no relationship between the severity felt by respondents on the prevention measures for BGM under five.</w:t>
      </w:r>
      <w:bookmarkStart w:id="10" w:name="_Hlk56951975"/>
      <w:bookmarkEnd w:id="10"/>
    </w:p>
    <w:p w14:paraId="7234F8D6" w14:textId="77777777" w:rsidR="000650AA" w:rsidRPr="000650AA" w:rsidRDefault="000650AA" w:rsidP="000650AA">
      <w:pPr>
        <w:autoSpaceDE w:val="0"/>
        <w:autoSpaceDN w:val="0"/>
        <w:adjustRightInd w:val="0"/>
        <w:jc w:val="both"/>
        <w:rPr>
          <w:b/>
          <w:sz w:val="20"/>
          <w:szCs w:val="20"/>
        </w:rPr>
      </w:pPr>
    </w:p>
    <w:p w14:paraId="753B291E" w14:textId="77777777" w:rsidR="000650AA" w:rsidRPr="000650AA" w:rsidRDefault="000650AA" w:rsidP="000650AA">
      <w:pPr>
        <w:autoSpaceDE w:val="0"/>
        <w:autoSpaceDN w:val="0"/>
        <w:adjustRightInd w:val="0"/>
        <w:jc w:val="both"/>
        <w:rPr>
          <w:b/>
          <w:sz w:val="20"/>
          <w:szCs w:val="20"/>
        </w:rPr>
      </w:pPr>
      <w:r w:rsidRPr="000650AA">
        <w:rPr>
          <w:b/>
          <w:sz w:val="20"/>
          <w:szCs w:val="20"/>
        </w:rPr>
        <w:t>Perceived Benefits of Mother's Actions in Preventing BGM</w:t>
      </w:r>
    </w:p>
    <w:p w14:paraId="57C79928" w14:textId="0D2A3155" w:rsidR="000650AA" w:rsidRPr="000650AA" w:rsidRDefault="000650AA" w:rsidP="00ED5751">
      <w:pPr>
        <w:widowControl w:val="0"/>
        <w:autoSpaceDE w:val="0"/>
        <w:autoSpaceDN w:val="0"/>
        <w:adjustRightInd w:val="0"/>
        <w:ind w:firstLine="567"/>
        <w:jc w:val="both"/>
        <w:rPr>
          <w:sz w:val="20"/>
          <w:szCs w:val="20"/>
        </w:rPr>
      </w:pPr>
      <w:r w:rsidRPr="000650AA">
        <w:rPr>
          <w:sz w:val="20"/>
          <w:szCs w:val="20"/>
        </w:rPr>
        <w:t>This study uses cross tabulation to determine the suitability of the relationship between benefits felt by the mother and prevention of BGM can be seen in table 4 below:</w:t>
      </w:r>
    </w:p>
    <w:p w14:paraId="16D395CD" w14:textId="77777777" w:rsidR="000650AA" w:rsidRPr="000650AA" w:rsidRDefault="000650AA" w:rsidP="00A7178E">
      <w:pPr>
        <w:autoSpaceDE w:val="0"/>
        <w:autoSpaceDN w:val="0"/>
        <w:adjustRightInd w:val="0"/>
        <w:ind w:left="1134" w:hanging="1134"/>
        <w:jc w:val="center"/>
        <w:rPr>
          <w:sz w:val="20"/>
          <w:szCs w:val="20"/>
        </w:rPr>
      </w:pPr>
      <w:proofErr w:type="gramStart"/>
      <w:r w:rsidRPr="000650AA">
        <w:rPr>
          <w:b/>
          <w:bCs/>
          <w:sz w:val="20"/>
          <w:szCs w:val="20"/>
        </w:rPr>
        <w:t>Table 4.</w:t>
      </w:r>
      <w:proofErr w:type="gramEnd"/>
      <w:r w:rsidRPr="000650AA">
        <w:rPr>
          <w:sz w:val="20"/>
          <w:szCs w:val="20"/>
        </w:rPr>
        <w:t xml:space="preserve"> Benefits of Mother's Feeling of BGM Prevention in the Work Area of ​​the </w:t>
      </w:r>
      <w:proofErr w:type="spellStart"/>
      <w:r w:rsidRPr="000650AA">
        <w:rPr>
          <w:sz w:val="20"/>
          <w:szCs w:val="20"/>
        </w:rPr>
        <w:t>Wonokusumo</w:t>
      </w:r>
      <w:proofErr w:type="spellEnd"/>
      <w:r w:rsidRPr="000650AA">
        <w:rPr>
          <w:sz w:val="20"/>
          <w:szCs w:val="20"/>
        </w:rPr>
        <w:t xml:space="preserve"> Community Health Center in Surabaya in 2019</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856"/>
        <w:gridCol w:w="1183"/>
        <w:gridCol w:w="704"/>
        <w:gridCol w:w="1219"/>
        <w:gridCol w:w="889"/>
        <w:gridCol w:w="1033"/>
        <w:gridCol w:w="1787"/>
      </w:tblGrid>
      <w:tr w:rsidR="003947E5" w:rsidRPr="000650AA" w14:paraId="2ED0D602" w14:textId="168799F4" w:rsidTr="00B85BD9">
        <w:trPr>
          <w:jc w:val="center"/>
        </w:trPr>
        <w:tc>
          <w:tcPr>
            <w:tcW w:w="1616" w:type="dxa"/>
            <w:vMerge w:val="restart"/>
            <w:tcBorders>
              <w:top w:val="single" w:sz="4" w:space="0" w:color="auto"/>
              <w:bottom w:val="single" w:sz="4" w:space="0" w:color="auto"/>
            </w:tcBorders>
            <w:hideMark/>
          </w:tcPr>
          <w:p w14:paraId="4E269963"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 xml:space="preserve">Significance </w:t>
            </w:r>
          </w:p>
        </w:tc>
        <w:tc>
          <w:tcPr>
            <w:tcW w:w="3962" w:type="dxa"/>
            <w:gridSpan w:val="4"/>
            <w:tcBorders>
              <w:top w:val="single" w:sz="4" w:space="0" w:color="auto"/>
              <w:bottom w:val="single" w:sz="4" w:space="0" w:color="auto"/>
            </w:tcBorders>
            <w:hideMark/>
          </w:tcPr>
          <w:p w14:paraId="39D7427B"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BGM Prevention</w:t>
            </w:r>
          </w:p>
        </w:tc>
        <w:tc>
          <w:tcPr>
            <w:tcW w:w="1922" w:type="dxa"/>
            <w:gridSpan w:val="2"/>
            <w:vMerge w:val="restart"/>
            <w:tcBorders>
              <w:top w:val="single" w:sz="4" w:space="0" w:color="auto"/>
              <w:bottom w:val="single" w:sz="4" w:space="0" w:color="auto"/>
            </w:tcBorders>
            <w:hideMark/>
          </w:tcPr>
          <w:p w14:paraId="121E4885"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 xml:space="preserve">Amount </w:t>
            </w:r>
          </w:p>
        </w:tc>
        <w:tc>
          <w:tcPr>
            <w:tcW w:w="1787" w:type="dxa"/>
            <w:vMerge w:val="restart"/>
            <w:tcBorders>
              <w:top w:val="single" w:sz="4" w:space="0" w:color="auto"/>
            </w:tcBorders>
          </w:tcPr>
          <w:p w14:paraId="6B29DD3C" w14:textId="532E0E02" w:rsidR="003947E5" w:rsidRPr="00962372" w:rsidRDefault="003947E5" w:rsidP="00986067">
            <w:pPr>
              <w:autoSpaceDE w:val="0"/>
              <w:autoSpaceDN w:val="0"/>
              <w:adjustRightInd w:val="0"/>
              <w:jc w:val="center"/>
              <w:rPr>
                <w:b/>
                <w:sz w:val="20"/>
                <w:szCs w:val="20"/>
              </w:rPr>
            </w:pPr>
            <w:r w:rsidRPr="00962372">
              <w:rPr>
                <w:rFonts w:ascii="Times New Roman" w:hAnsi="Times New Roman" w:cs="Times New Roman"/>
                <w:b/>
                <w:sz w:val="20"/>
              </w:rPr>
              <w:t>p value</w:t>
            </w:r>
          </w:p>
        </w:tc>
      </w:tr>
      <w:tr w:rsidR="003947E5" w:rsidRPr="000650AA" w14:paraId="54F1538F" w14:textId="40193E75" w:rsidTr="00B85BD9">
        <w:trPr>
          <w:jc w:val="center"/>
        </w:trPr>
        <w:tc>
          <w:tcPr>
            <w:tcW w:w="1616" w:type="dxa"/>
            <w:vMerge/>
            <w:tcBorders>
              <w:top w:val="nil"/>
              <w:bottom w:val="single" w:sz="4" w:space="0" w:color="auto"/>
            </w:tcBorders>
            <w:vAlign w:val="center"/>
            <w:hideMark/>
          </w:tcPr>
          <w:p w14:paraId="1CAECD57" w14:textId="77777777" w:rsidR="003947E5" w:rsidRPr="000650AA" w:rsidRDefault="003947E5" w:rsidP="00986067">
            <w:pPr>
              <w:rPr>
                <w:rFonts w:ascii="Times New Roman" w:hAnsi="Times New Roman" w:cs="Times New Roman"/>
                <w:b/>
                <w:sz w:val="20"/>
                <w:szCs w:val="20"/>
              </w:rPr>
            </w:pPr>
          </w:p>
        </w:tc>
        <w:tc>
          <w:tcPr>
            <w:tcW w:w="2039" w:type="dxa"/>
            <w:gridSpan w:val="2"/>
            <w:tcBorders>
              <w:top w:val="single" w:sz="4" w:space="0" w:color="auto"/>
              <w:bottom w:val="single" w:sz="4" w:space="0" w:color="auto"/>
            </w:tcBorders>
            <w:hideMark/>
          </w:tcPr>
          <w:p w14:paraId="7908486F"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 xml:space="preserve">Prevent </w:t>
            </w:r>
          </w:p>
        </w:tc>
        <w:tc>
          <w:tcPr>
            <w:tcW w:w="1923" w:type="dxa"/>
            <w:gridSpan w:val="2"/>
            <w:tcBorders>
              <w:top w:val="single" w:sz="4" w:space="0" w:color="auto"/>
              <w:bottom w:val="single" w:sz="4" w:space="0" w:color="auto"/>
            </w:tcBorders>
            <w:hideMark/>
          </w:tcPr>
          <w:p w14:paraId="4DCFD59E"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 xml:space="preserve">Not prevent </w:t>
            </w:r>
          </w:p>
        </w:tc>
        <w:tc>
          <w:tcPr>
            <w:tcW w:w="1922" w:type="dxa"/>
            <w:gridSpan w:val="2"/>
            <w:vMerge/>
            <w:tcBorders>
              <w:top w:val="single" w:sz="4" w:space="0" w:color="auto"/>
              <w:bottom w:val="single" w:sz="4" w:space="0" w:color="auto"/>
            </w:tcBorders>
            <w:vAlign w:val="center"/>
            <w:hideMark/>
          </w:tcPr>
          <w:p w14:paraId="3942DBA6" w14:textId="77777777" w:rsidR="003947E5" w:rsidRPr="000650AA" w:rsidRDefault="003947E5" w:rsidP="00986067">
            <w:pPr>
              <w:rPr>
                <w:rFonts w:ascii="Times New Roman" w:hAnsi="Times New Roman" w:cs="Times New Roman"/>
                <w:b/>
                <w:sz w:val="20"/>
                <w:szCs w:val="20"/>
              </w:rPr>
            </w:pPr>
          </w:p>
        </w:tc>
        <w:tc>
          <w:tcPr>
            <w:tcW w:w="1787" w:type="dxa"/>
            <w:vMerge/>
          </w:tcPr>
          <w:p w14:paraId="237DEB7E" w14:textId="77777777" w:rsidR="003947E5" w:rsidRPr="00962372" w:rsidRDefault="003947E5" w:rsidP="00986067">
            <w:pPr>
              <w:rPr>
                <w:b/>
                <w:sz w:val="20"/>
                <w:szCs w:val="20"/>
              </w:rPr>
            </w:pPr>
          </w:p>
        </w:tc>
      </w:tr>
      <w:tr w:rsidR="003947E5" w:rsidRPr="000650AA" w14:paraId="12CEC298" w14:textId="30C00436" w:rsidTr="00B85BD9">
        <w:trPr>
          <w:jc w:val="center"/>
        </w:trPr>
        <w:tc>
          <w:tcPr>
            <w:tcW w:w="1616" w:type="dxa"/>
            <w:vMerge/>
            <w:tcBorders>
              <w:top w:val="nil"/>
              <w:bottom w:val="single" w:sz="4" w:space="0" w:color="auto"/>
            </w:tcBorders>
            <w:vAlign w:val="center"/>
            <w:hideMark/>
          </w:tcPr>
          <w:p w14:paraId="491F7023" w14:textId="77777777" w:rsidR="003947E5" w:rsidRPr="000650AA" w:rsidRDefault="003947E5" w:rsidP="00986067">
            <w:pPr>
              <w:rPr>
                <w:rFonts w:ascii="Times New Roman" w:hAnsi="Times New Roman" w:cs="Times New Roman"/>
                <w:b/>
                <w:sz w:val="20"/>
                <w:szCs w:val="20"/>
              </w:rPr>
            </w:pPr>
          </w:p>
        </w:tc>
        <w:tc>
          <w:tcPr>
            <w:tcW w:w="856" w:type="dxa"/>
            <w:tcBorders>
              <w:top w:val="single" w:sz="4" w:space="0" w:color="auto"/>
              <w:bottom w:val="single" w:sz="4" w:space="0" w:color="auto"/>
            </w:tcBorders>
            <w:hideMark/>
          </w:tcPr>
          <w:p w14:paraId="561DCABA"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N</w:t>
            </w:r>
          </w:p>
        </w:tc>
        <w:tc>
          <w:tcPr>
            <w:tcW w:w="1183" w:type="dxa"/>
            <w:tcBorders>
              <w:top w:val="single" w:sz="4" w:space="0" w:color="auto"/>
              <w:bottom w:val="single" w:sz="4" w:space="0" w:color="auto"/>
            </w:tcBorders>
            <w:hideMark/>
          </w:tcPr>
          <w:p w14:paraId="4FF71D82"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w:t>
            </w:r>
          </w:p>
        </w:tc>
        <w:tc>
          <w:tcPr>
            <w:tcW w:w="704" w:type="dxa"/>
            <w:tcBorders>
              <w:top w:val="single" w:sz="4" w:space="0" w:color="auto"/>
              <w:bottom w:val="single" w:sz="4" w:space="0" w:color="auto"/>
            </w:tcBorders>
            <w:hideMark/>
          </w:tcPr>
          <w:p w14:paraId="5633D932"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N</w:t>
            </w:r>
          </w:p>
        </w:tc>
        <w:tc>
          <w:tcPr>
            <w:tcW w:w="1219" w:type="dxa"/>
            <w:tcBorders>
              <w:top w:val="single" w:sz="4" w:space="0" w:color="auto"/>
              <w:bottom w:val="single" w:sz="4" w:space="0" w:color="auto"/>
            </w:tcBorders>
            <w:hideMark/>
          </w:tcPr>
          <w:p w14:paraId="1E202C42"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w:t>
            </w:r>
          </w:p>
        </w:tc>
        <w:tc>
          <w:tcPr>
            <w:tcW w:w="889" w:type="dxa"/>
            <w:tcBorders>
              <w:top w:val="single" w:sz="4" w:space="0" w:color="auto"/>
              <w:bottom w:val="single" w:sz="4" w:space="0" w:color="auto"/>
            </w:tcBorders>
            <w:hideMark/>
          </w:tcPr>
          <w:p w14:paraId="534E9254"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n</w:t>
            </w:r>
          </w:p>
        </w:tc>
        <w:tc>
          <w:tcPr>
            <w:tcW w:w="1033" w:type="dxa"/>
            <w:tcBorders>
              <w:top w:val="single" w:sz="4" w:space="0" w:color="auto"/>
              <w:bottom w:val="single" w:sz="4" w:space="0" w:color="auto"/>
            </w:tcBorders>
            <w:hideMark/>
          </w:tcPr>
          <w:p w14:paraId="08507CC2" w14:textId="77777777" w:rsidR="003947E5" w:rsidRPr="000650AA" w:rsidRDefault="003947E5" w:rsidP="00986067">
            <w:pPr>
              <w:autoSpaceDE w:val="0"/>
              <w:autoSpaceDN w:val="0"/>
              <w:adjustRightInd w:val="0"/>
              <w:jc w:val="center"/>
              <w:rPr>
                <w:rFonts w:ascii="Times New Roman" w:hAnsi="Times New Roman" w:cs="Times New Roman"/>
                <w:b/>
                <w:sz w:val="20"/>
                <w:szCs w:val="20"/>
              </w:rPr>
            </w:pPr>
            <w:r w:rsidRPr="000650AA">
              <w:rPr>
                <w:rFonts w:ascii="Times New Roman" w:hAnsi="Times New Roman" w:cs="Times New Roman"/>
                <w:b/>
                <w:sz w:val="20"/>
                <w:szCs w:val="20"/>
              </w:rPr>
              <w:t>%</w:t>
            </w:r>
          </w:p>
        </w:tc>
        <w:tc>
          <w:tcPr>
            <w:tcW w:w="1787" w:type="dxa"/>
            <w:vMerge/>
            <w:tcBorders>
              <w:bottom w:val="single" w:sz="4" w:space="0" w:color="auto"/>
            </w:tcBorders>
          </w:tcPr>
          <w:p w14:paraId="516E5160" w14:textId="77777777" w:rsidR="003947E5" w:rsidRPr="00962372" w:rsidRDefault="003947E5" w:rsidP="00986067">
            <w:pPr>
              <w:autoSpaceDE w:val="0"/>
              <w:autoSpaceDN w:val="0"/>
              <w:adjustRightInd w:val="0"/>
              <w:jc w:val="center"/>
              <w:rPr>
                <w:b/>
                <w:sz w:val="20"/>
                <w:szCs w:val="20"/>
              </w:rPr>
            </w:pPr>
          </w:p>
        </w:tc>
      </w:tr>
      <w:tr w:rsidR="003947E5" w:rsidRPr="000650AA" w14:paraId="527F1766" w14:textId="1034ADD7" w:rsidTr="003947E5">
        <w:trPr>
          <w:jc w:val="center"/>
        </w:trPr>
        <w:tc>
          <w:tcPr>
            <w:tcW w:w="1616" w:type="dxa"/>
            <w:tcBorders>
              <w:top w:val="single" w:sz="4" w:space="0" w:color="auto"/>
              <w:bottom w:val="single" w:sz="4" w:space="0" w:color="auto"/>
            </w:tcBorders>
            <w:hideMark/>
          </w:tcPr>
          <w:p w14:paraId="210C09D4" w14:textId="77777777" w:rsidR="003947E5" w:rsidRPr="000650AA" w:rsidRDefault="003947E5" w:rsidP="00986067">
            <w:pPr>
              <w:autoSpaceDE w:val="0"/>
              <w:autoSpaceDN w:val="0"/>
              <w:adjustRightInd w:val="0"/>
              <w:jc w:val="both"/>
              <w:rPr>
                <w:rFonts w:ascii="Times New Roman" w:hAnsi="Times New Roman" w:cs="Times New Roman"/>
                <w:sz w:val="20"/>
                <w:szCs w:val="20"/>
              </w:rPr>
            </w:pPr>
            <w:r w:rsidRPr="000650AA">
              <w:rPr>
                <w:rFonts w:ascii="Times New Roman" w:hAnsi="Times New Roman" w:cs="Times New Roman"/>
                <w:sz w:val="20"/>
                <w:szCs w:val="20"/>
              </w:rPr>
              <w:t>Useful</w:t>
            </w:r>
          </w:p>
          <w:p w14:paraId="65E1BDDD" w14:textId="77777777" w:rsidR="003947E5" w:rsidRPr="000650AA" w:rsidRDefault="003947E5" w:rsidP="00986067">
            <w:pPr>
              <w:autoSpaceDE w:val="0"/>
              <w:autoSpaceDN w:val="0"/>
              <w:adjustRightInd w:val="0"/>
              <w:jc w:val="both"/>
              <w:rPr>
                <w:rFonts w:ascii="Times New Roman" w:hAnsi="Times New Roman" w:cs="Times New Roman"/>
                <w:sz w:val="20"/>
                <w:szCs w:val="20"/>
              </w:rPr>
            </w:pPr>
            <w:r w:rsidRPr="000650AA">
              <w:rPr>
                <w:rFonts w:ascii="Times New Roman" w:hAnsi="Times New Roman" w:cs="Times New Roman"/>
                <w:sz w:val="20"/>
                <w:szCs w:val="20"/>
              </w:rPr>
              <w:t>Not useful</w:t>
            </w:r>
          </w:p>
        </w:tc>
        <w:tc>
          <w:tcPr>
            <w:tcW w:w="856" w:type="dxa"/>
            <w:tcBorders>
              <w:top w:val="single" w:sz="4" w:space="0" w:color="auto"/>
              <w:bottom w:val="single" w:sz="4" w:space="0" w:color="auto"/>
            </w:tcBorders>
            <w:hideMark/>
          </w:tcPr>
          <w:p w14:paraId="203DBBCD"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6</w:t>
            </w:r>
          </w:p>
          <w:p w14:paraId="7B5A6C41"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13</w:t>
            </w:r>
          </w:p>
        </w:tc>
        <w:tc>
          <w:tcPr>
            <w:tcW w:w="1183" w:type="dxa"/>
            <w:tcBorders>
              <w:top w:val="single" w:sz="4" w:space="0" w:color="auto"/>
              <w:bottom w:val="single" w:sz="4" w:space="0" w:color="auto"/>
            </w:tcBorders>
            <w:hideMark/>
          </w:tcPr>
          <w:p w14:paraId="56F7F013"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11,3</w:t>
            </w:r>
          </w:p>
          <w:p w14:paraId="00C1E97D"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24,5</w:t>
            </w:r>
          </w:p>
        </w:tc>
        <w:tc>
          <w:tcPr>
            <w:tcW w:w="704" w:type="dxa"/>
            <w:tcBorders>
              <w:top w:val="single" w:sz="4" w:space="0" w:color="auto"/>
              <w:bottom w:val="single" w:sz="4" w:space="0" w:color="auto"/>
            </w:tcBorders>
            <w:hideMark/>
          </w:tcPr>
          <w:p w14:paraId="2A27190F"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13</w:t>
            </w:r>
          </w:p>
          <w:p w14:paraId="38F91437"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21</w:t>
            </w:r>
          </w:p>
        </w:tc>
        <w:tc>
          <w:tcPr>
            <w:tcW w:w="1219" w:type="dxa"/>
            <w:tcBorders>
              <w:top w:val="single" w:sz="4" w:space="0" w:color="auto"/>
              <w:bottom w:val="single" w:sz="4" w:space="0" w:color="auto"/>
            </w:tcBorders>
            <w:hideMark/>
          </w:tcPr>
          <w:p w14:paraId="46895710"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24.5</w:t>
            </w:r>
          </w:p>
          <w:p w14:paraId="1DDDD137"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39,6</w:t>
            </w:r>
          </w:p>
        </w:tc>
        <w:tc>
          <w:tcPr>
            <w:tcW w:w="889" w:type="dxa"/>
            <w:tcBorders>
              <w:top w:val="single" w:sz="4" w:space="0" w:color="auto"/>
              <w:bottom w:val="single" w:sz="4" w:space="0" w:color="auto"/>
            </w:tcBorders>
            <w:hideMark/>
          </w:tcPr>
          <w:p w14:paraId="61AFDAA2"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19</w:t>
            </w:r>
          </w:p>
          <w:p w14:paraId="326366C6"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34</w:t>
            </w:r>
          </w:p>
        </w:tc>
        <w:tc>
          <w:tcPr>
            <w:tcW w:w="1033" w:type="dxa"/>
            <w:tcBorders>
              <w:top w:val="single" w:sz="4" w:space="0" w:color="auto"/>
              <w:bottom w:val="single" w:sz="4" w:space="0" w:color="auto"/>
            </w:tcBorders>
            <w:hideMark/>
          </w:tcPr>
          <w:p w14:paraId="2A6A7F51"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35,8</w:t>
            </w:r>
          </w:p>
          <w:p w14:paraId="52A3018B"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64,2</w:t>
            </w:r>
          </w:p>
        </w:tc>
        <w:tc>
          <w:tcPr>
            <w:tcW w:w="1787" w:type="dxa"/>
            <w:vMerge w:val="restart"/>
            <w:tcBorders>
              <w:top w:val="single" w:sz="4" w:space="0" w:color="auto"/>
            </w:tcBorders>
            <w:vAlign w:val="center"/>
          </w:tcPr>
          <w:p w14:paraId="4FFDBC0A" w14:textId="4C970167" w:rsidR="003947E5" w:rsidRPr="00962372" w:rsidRDefault="00A22804" w:rsidP="003947E5">
            <w:pPr>
              <w:autoSpaceDE w:val="0"/>
              <w:autoSpaceDN w:val="0"/>
              <w:adjustRightInd w:val="0"/>
              <w:jc w:val="center"/>
              <w:rPr>
                <w:sz w:val="20"/>
                <w:szCs w:val="20"/>
              </w:rPr>
            </w:pPr>
            <w:r w:rsidRPr="00962372">
              <w:rPr>
                <w:rFonts w:ascii="Times New Roman" w:hAnsi="Times New Roman" w:cs="Times New Roman"/>
                <w:sz w:val="20"/>
              </w:rPr>
              <w:t>0</w:t>
            </w:r>
            <w:r w:rsidRPr="00962372">
              <w:rPr>
                <w:rFonts w:ascii="Times New Roman" w:hAnsi="Times New Roman" w:cs="Times New Roman"/>
                <w:sz w:val="20"/>
                <w:lang w:val="id-ID"/>
              </w:rPr>
              <w:t>.</w:t>
            </w:r>
            <w:r w:rsidR="003947E5" w:rsidRPr="00962372">
              <w:rPr>
                <w:rFonts w:ascii="Times New Roman" w:hAnsi="Times New Roman" w:cs="Times New Roman"/>
                <w:sz w:val="20"/>
              </w:rPr>
              <w:t>768</w:t>
            </w:r>
          </w:p>
        </w:tc>
      </w:tr>
      <w:tr w:rsidR="003947E5" w:rsidRPr="000650AA" w14:paraId="2ED3FAF6" w14:textId="5423A88B" w:rsidTr="00B85BD9">
        <w:trPr>
          <w:jc w:val="center"/>
        </w:trPr>
        <w:tc>
          <w:tcPr>
            <w:tcW w:w="1616" w:type="dxa"/>
            <w:tcBorders>
              <w:top w:val="single" w:sz="4" w:space="0" w:color="auto"/>
              <w:bottom w:val="single" w:sz="4" w:space="0" w:color="auto"/>
            </w:tcBorders>
            <w:hideMark/>
          </w:tcPr>
          <w:p w14:paraId="70B17F17" w14:textId="77777777" w:rsidR="003947E5" w:rsidRPr="00A7178E" w:rsidRDefault="003947E5" w:rsidP="00986067">
            <w:pPr>
              <w:autoSpaceDE w:val="0"/>
              <w:autoSpaceDN w:val="0"/>
              <w:adjustRightInd w:val="0"/>
              <w:jc w:val="both"/>
              <w:rPr>
                <w:rFonts w:ascii="Times New Roman" w:hAnsi="Times New Roman" w:cs="Times New Roman"/>
                <w:b/>
                <w:sz w:val="20"/>
                <w:szCs w:val="20"/>
              </w:rPr>
            </w:pPr>
            <w:r w:rsidRPr="00A7178E">
              <w:rPr>
                <w:rFonts w:ascii="Times New Roman" w:hAnsi="Times New Roman" w:cs="Times New Roman"/>
                <w:b/>
                <w:sz w:val="20"/>
                <w:szCs w:val="20"/>
              </w:rPr>
              <w:t xml:space="preserve">Total </w:t>
            </w:r>
          </w:p>
        </w:tc>
        <w:tc>
          <w:tcPr>
            <w:tcW w:w="856" w:type="dxa"/>
            <w:tcBorders>
              <w:top w:val="single" w:sz="4" w:space="0" w:color="auto"/>
              <w:bottom w:val="single" w:sz="4" w:space="0" w:color="auto"/>
            </w:tcBorders>
            <w:hideMark/>
          </w:tcPr>
          <w:p w14:paraId="646589CB"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19</w:t>
            </w:r>
          </w:p>
        </w:tc>
        <w:tc>
          <w:tcPr>
            <w:tcW w:w="1183" w:type="dxa"/>
            <w:tcBorders>
              <w:top w:val="single" w:sz="4" w:space="0" w:color="auto"/>
              <w:bottom w:val="single" w:sz="4" w:space="0" w:color="auto"/>
            </w:tcBorders>
            <w:hideMark/>
          </w:tcPr>
          <w:p w14:paraId="266414ED"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35,8</w:t>
            </w:r>
          </w:p>
        </w:tc>
        <w:tc>
          <w:tcPr>
            <w:tcW w:w="704" w:type="dxa"/>
            <w:tcBorders>
              <w:top w:val="single" w:sz="4" w:space="0" w:color="auto"/>
              <w:bottom w:val="single" w:sz="4" w:space="0" w:color="auto"/>
            </w:tcBorders>
            <w:hideMark/>
          </w:tcPr>
          <w:p w14:paraId="68839C51"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34</w:t>
            </w:r>
          </w:p>
        </w:tc>
        <w:tc>
          <w:tcPr>
            <w:tcW w:w="1219" w:type="dxa"/>
            <w:tcBorders>
              <w:top w:val="single" w:sz="4" w:space="0" w:color="auto"/>
              <w:bottom w:val="single" w:sz="4" w:space="0" w:color="auto"/>
            </w:tcBorders>
            <w:hideMark/>
          </w:tcPr>
          <w:p w14:paraId="1C10AF90"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64,2</w:t>
            </w:r>
          </w:p>
        </w:tc>
        <w:tc>
          <w:tcPr>
            <w:tcW w:w="889" w:type="dxa"/>
            <w:tcBorders>
              <w:top w:val="single" w:sz="4" w:space="0" w:color="auto"/>
              <w:bottom w:val="single" w:sz="4" w:space="0" w:color="auto"/>
            </w:tcBorders>
            <w:hideMark/>
          </w:tcPr>
          <w:p w14:paraId="472BDC83"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53</w:t>
            </w:r>
          </w:p>
        </w:tc>
        <w:tc>
          <w:tcPr>
            <w:tcW w:w="1033" w:type="dxa"/>
            <w:tcBorders>
              <w:top w:val="single" w:sz="4" w:space="0" w:color="auto"/>
              <w:bottom w:val="single" w:sz="4" w:space="0" w:color="auto"/>
            </w:tcBorders>
            <w:hideMark/>
          </w:tcPr>
          <w:p w14:paraId="78B76614" w14:textId="77777777" w:rsidR="003947E5" w:rsidRPr="000650AA" w:rsidRDefault="003947E5" w:rsidP="00986067">
            <w:pPr>
              <w:autoSpaceDE w:val="0"/>
              <w:autoSpaceDN w:val="0"/>
              <w:adjustRightInd w:val="0"/>
              <w:jc w:val="center"/>
              <w:rPr>
                <w:rFonts w:ascii="Times New Roman" w:hAnsi="Times New Roman" w:cs="Times New Roman"/>
                <w:sz w:val="20"/>
                <w:szCs w:val="20"/>
              </w:rPr>
            </w:pPr>
            <w:r w:rsidRPr="000650AA">
              <w:rPr>
                <w:rFonts w:ascii="Times New Roman" w:hAnsi="Times New Roman" w:cs="Times New Roman"/>
                <w:sz w:val="20"/>
                <w:szCs w:val="20"/>
              </w:rPr>
              <w:t>100</w:t>
            </w:r>
          </w:p>
        </w:tc>
        <w:tc>
          <w:tcPr>
            <w:tcW w:w="1787" w:type="dxa"/>
            <w:vMerge/>
            <w:tcBorders>
              <w:bottom w:val="single" w:sz="4" w:space="0" w:color="auto"/>
            </w:tcBorders>
          </w:tcPr>
          <w:p w14:paraId="7705BF53" w14:textId="77777777" w:rsidR="003947E5" w:rsidRPr="000650AA" w:rsidRDefault="003947E5" w:rsidP="00986067">
            <w:pPr>
              <w:autoSpaceDE w:val="0"/>
              <w:autoSpaceDN w:val="0"/>
              <w:adjustRightInd w:val="0"/>
              <w:jc w:val="center"/>
              <w:rPr>
                <w:sz w:val="20"/>
                <w:szCs w:val="20"/>
              </w:rPr>
            </w:pPr>
          </w:p>
        </w:tc>
      </w:tr>
    </w:tbl>
    <w:p w14:paraId="1F4B8B0B" w14:textId="77777777" w:rsidR="000650AA" w:rsidRPr="000650AA" w:rsidRDefault="000650AA" w:rsidP="000650AA">
      <w:pPr>
        <w:widowControl w:val="0"/>
        <w:autoSpaceDE w:val="0"/>
        <w:autoSpaceDN w:val="0"/>
        <w:adjustRightInd w:val="0"/>
        <w:jc w:val="both"/>
        <w:rPr>
          <w:b/>
          <w:sz w:val="20"/>
          <w:szCs w:val="20"/>
        </w:rPr>
      </w:pPr>
    </w:p>
    <w:p w14:paraId="2960581E" w14:textId="10B637E6" w:rsidR="000650AA" w:rsidRDefault="000650AA" w:rsidP="00ED5751">
      <w:pPr>
        <w:autoSpaceDE w:val="0"/>
        <w:autoSpaceDN w:val="0"/>
        <w:adjustRightInd w:val="0"/>
        <w:ind w:firstLine="567"/>
        <w:jc w:val="both"/>
        <w:rPr>
          <w:sz w:val="20"/>
          <w:szCs w:val="20"/>
        </w:rPr>
      </w:pPr>
      <w:r w:rsidRPr="000650AA">
        <w:rPr>
          <w:sz w:val="20"/>
          <w:szCs w:val="20"/>
        </w:rPr>
        <w:t>Based on table 4, it can be seen that there were 6 respondents with the perceived benefits of taking BGM preventive measures and 13 respondents did not feel the benefit of BGM prevention measures. From these results, it can be seen that respondents do not feel that they are beneficial, so they do not act to prevent BGM. The statistical test results obtained p value 0.768, which means that the p value&gt; α 0.25, then it is not selected to do multiple logistic regression tests and there is no relationship between the benefits felt by respondents on preventive measures for children under five BGM.</w:t>
      </w:r>
      <w:bookmarkStart w:id="11" w:name="_Hlk56951994"/>
      <w:bookmarkEnd w:id="11"/>
    </w:p>
    <w:p w14:paraId="1438CA37" w14:textId="77777777" w:rsidR="00ED5751" w:rsidRPr="00ED5751" w:rsidRDefault="00ED5751" w:rsidP="00ED5751">
      <w:pPr>
        <w:autoSpaceDE w:val="0"/>
        <w:autoSpaceDN w:val="0"/>
        <w:adjustRightInd w:val="0"/>
        <w:ind w:firstLine="720"/>
        <w:jc w:val="both"/>
        <w:rPr>
          <w:sz w:val="20"/>
          <w:szCs w:val="20"/>
        </w:rPr>
      </w:pPr>
    </w:p>
    <w:p w14:paraId="70212EB8" w14:textId="77777777" w:rsidR="000650AA" w:rsidRPr="000650AA" w:rsidRDefault="000650AA" w:rsidP="000650AA">
      <w:pPr>
        <w:autoSpaceDE w:val="0"/>
        <w:autoSpaceDN w:val="0"/>
        <w:adjustRightInd w:val="0"/>
        <w:jc w:val="both"/>
        <w:rPr>
          <w:b/>
          <w:sz w:val="20"/>
          <w:szCs w:val="20"/>
        </w:rPr>
      </w:pPr>
      <w:r w:rsidRPr="000650AA">
        <w:rPr>
          <w:b/>
          <w:sz w:val="20"/>
          <w:szCs w:val="20"/>
        </w:rPr>
        <w:t>Perceived Barriers to Mother's Actions in Preventing BGM</w:t>
      </w:r>
    </w:p>
    <w:p w14:paraId="3675FF35" w14:textId="440A2F0C" w:rsidR="000650AA" w:rsidRPr="000650AA" w:rsidRDefault="000650AA" w:rsidP="00ED5751">
      <w:pPr>
        <w:widowControl w:val="0"/>
        <w:autoSpaceDE w:val="0"/>
        <w:autoSpaceDN w:val="0"/>
        <w:adjustRightInd w:val="0"/>
        <w:ind w:firstLine="567"/>
        <w:jc w:val="both"/>
        <w:rPr>
          <w:sz w:val="20"/>
          <w:szCs w:val="20"/>
        </w:rPr>
      </w:pPr>
      <w:r w:rsidRPr="000650AA">
        <w:rPr>
          <w:sz w:val="20"/>
          <w:szCs w:val="20"/>
        </w:rPr>
        <w:t>This study used cross tabulation to determine the relationship between the suitability of the barriers that mothers felt against BGM prevention measures. This distribution can be seen in table 5 below:</w:t>
      </w:r>
    </w:p>
    <w:p w14:paraId="11CB2C59" w14:textId="77777777" w:rsidR="000650AA" w:rsidRPr="000650AA" w:rsidRDefault="000650AA" w:rsidP="000650AA">
      <w:pPr>
        <w:autoSpaceDE w:val="0"/>
        <w:autoSpaceDN w:val="0"/>
        <w:adjustRightInd w:val="0"/>
        <w:ind w:left="1134" w:hanging="1134"/>
        <w:jc w:val="both"/>
        <w:rPr>
          <w:sz w:val="20"/>
          <w:szCs w:val="20"/>
        </w:rPr>
      </w:pPr>
      <w:proofErr w:type="gramStart"/>
      <w:r w:rsidRPr="000650AA">
        <w:rPr>
          <w:b/>
          <w:bCs/>
          <w:sz w:val="20"/>
          <w:szCs w:val="20"/>
        </w:rPr>
        <w:t>Table 5.</w:t>
      </w:r>
      <w:proofErr w:type="gramEnd"/>
      <w:r w:rsidRPr="000650AA">
        <w:rPr>
          <w:sz w:val="20"/>
          <w:szCs w:val="20"/>
        </w:rPr>
        <w:t xml:space="preserve"> Obstacles Felt by Mother on Prevention of BGM in the Work Area of ​​the </w:t>
      </w:r>
      <w:proofErr w:type="spellStart"/>
      <w:r w:rsidRPr="000650AA">
        <w:rPr>
          <w:sz w:val="20"/>
          <w:szCs w:val="20"/>
        </w:rPr>
        <w:t>Wonokusumo</w:t>
      </w:r>
      <w:proofErr w:type="spellEnd"/>
      <w:r w:rsidRPr="000650AA">
        <w:rPr>
          <w:sz w:val="20"/>
          <w:szCs w:val="20"/>
        </w:rPr>
        <w:t xml:space="preserve"> Health Center in Surabaya in 2019</w:t>
      </w:r>
    </w:p>
    <w:tbl>
      <w:tblPr>
        <w:tblStyle w:val="TableGrid"/>
        <w:tblW w:w="9921" w:type="dxa"/>
        <w:jc w:val="center"/>
        <w:tblInd w:w="14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9"/>
        <w:gridCol w:w="735"/>
        <w:gridCol w:w="850"/>
        <w:gridCol w:w="820"/>
        <w:gridCol w:w="1165"/>
        <w:gridCol w:w="992"/>
        <w:gridCol w:w="1276"/>
        <w:gridCol w:w="1704"/>
      </w:tblGrid>
      <w:tr w:rsidR="003947E5" w:rsidRPr="000650AA" w14:paraId="1B5E6D12" w14:textId="5E8F6105" w:rsidTr="00103AFA">
        <w:trPr>
          <w:jc w:val="center"/>
        </w:trPr>
        <w:tc>
          <w:tcPr>
            <w:tcW w:w="2379" w:type="dxa"/>
            <w:vMerge w:val="restart"/>
            <w:tcBorders>
              <w:top w:val="single" w:sz="4" w:space="0" w:color="auto"/>
              <w:bottom w:val="single" w:sz="4" w:space="0" w:color="auto"/>
            </w:tcBorders>
          </w:tcPr>
          <w:p w14:paraId="3A711C23" w14:textId="7C4E81FD" w:rsidR="003947E5" w:rsidRPr="000650AA" w:rsidRDefault="003947E5" w:rsidP="000650AA">
            <w:pPr>
              <w:autoSpaceDE w:val="0"/>
              <w:autoSpaceDN w:val="0"/>
              <w:adjustRightInd w:val="0"/>
              <w:ind w:left="1134" w:hanging="1134"/>
              <w:jc w:val="center"/>
              <w:rPr>
                <w:b/>
                <w:sz w:val="20"/>
                <w:szCs w:val="20"/>
              </w:rPr>
            </w:pPr>
            <w:r w:rsidRPr="000650AA">
              <w:rPr>
                <w:b/>
                <w:sz w:val="20"/>
                <w:szCs w:val="20"/>
              </w:rPr>
              <w:t>Barrier</w:t>
            </w:r>
          </w:p>
        </w:tc>
        <w:tc>
          <w:tcPr>
            <w:tcW w:w="3570" w:type="dxa"/>
            <w:gridSpan w:val="4"/>
            <w:tcBorders>
              <w:top w:val="single" w:sz="4" w:space="0" w:color="auto"/>
              <w:bottom w:val="single" w:sz="4" w:space="0" w:color="auto"/>
            </w:tcBorders>
          </w:tcPr>
          <w:p w14:paraId="20514156"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BGM Prevention</w:t>
            </w:r>
          </w:p>
        </w:tc>
        <w:tc>
          <w:tcPr>
            <w:tcW w:w="2268" w:type="dxa"/>
            <w:gridSpan w:val="2"/>
            <w:vMerge w:val="restart"/>
            <w:tcBorders>
              <w:top w:val="single" w:sz="4" w:space="0" w:color="auto"/>
              <w:bottom w:val="single" w:sz="4" w:space="0" w:color="auto"/>
            </w:tcBorders>
          </w:tcPr>
          <w:p w14:paraId="684432D1" w14:textId="6ADDCD6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Amount</w:t>
            </w:r>
          </w:p>
        </w:tc>
        <w:tc>
          <w:tcPr>
            <w:tcW w:w="1704" w:type="dxa"/>
            <w:vMerge w:val="restart"/>
            <w:tcBorders>
              <w:top w:val="single" w:sz="4" w:space="0" w:color="auto"/>
            </w:tcBorders>
          </w:tcPr>
          <w:p w14:paraId="3D89E7AA" w14:textId="59F204C8" w:rsidR="003947E5" w:rsidRPr="00962372" w:rsidRDefault="003947E5" w:rsidP="000650AA">
            <w:pPr>
              <w:autoSpaceDE w:val="0"/>
              <w:autoSpaceDN w:val="0"/>
              <w:adjustRightInd w:val="0"/>
              <w:ind w:left="1134" w:hanging="1134"/>
              <w:jc w:val="center"/>
              <w:rPr>
                <w:b/>
                <w:sz w:val="20"/>
                <w:szCs w:val="20"/>
              </w:rPr>
            </w:pPr>
            <w:r w:rsidRPr="00962372">
              <w:rPr>
                <w:b/>
                <w:sz w:val="20"/>
              </w:rPr>
              <w:t>p value</w:t>
            </w:r>
          </w:p>
        </w:tc>
      </w:tr>
      <w:tr w:rsidR="003947E5" w:rsidRPr="000650AA" w14:paraId="7E20935B" w14:textId="6E893F58" w:rsidTr="00103AFA">
        <w:trPr>
          <w:jc w:val="center"/>
        </w:trPr>
        <w:tc>
          <w:tcPr>
            <w:tcW w:w="2379" w:type="dxa"/>
            <w:vMerge/>
            <w:tcBorders>
              <w:top w:val="single" w:sz="4" w:space="0" w:color="auto"/>
              <w:bottom w:val="single" w:sz="4" w:space="0" w:color="auto"/>
            </w:tcBorders>
          </w:tcPr>
          <w:p w14:paraId="108B09A8" w14:textId="77777777" w:rsidR="003947E5" w:rsidRPr="000650AA" w:rsidRDefault="003947E5" w:rsidP="000650AA">
            <w:pPr>
              <w:autoSpaceDE w:val="0"/>
              <w:autoSpaceDN w:val="0"/>
              <w:adjustRightInd w:val="0"/>
              <w:ind w:left="1134" w:hanging="1134"/>
              <w:jc w:val="center"/>
              <w:rPr>
                <w:b/>
                <w:sz w:val="20"/>
                <w:szCs w:val="20"/>
              </w:rPr>
            </w:pPr>
          </w:p>
        </w:tc>
        <w:tc>
          <w:tcPr>
            <w:tcW w:w="1585" w:type="dxa"/>
            <w:gridSpan w:val="2"/>
            <w:tcBorders>
              <w:top w:val="single" w:sz="4" w:space="0" w:color="auto"/>
              <w:bottom w:val="single" w:sz="4" w:space="0" w:color="auto"/>
            </w:tcBorders>
          </w:tcPr>
          <w:p w14:paraId="40FE3BC3" w14:textId="5A1DEA6B" w:rsidR="003947E5" w:rsidRPr="000650AA" w:rsidRDefault="003947E5" w:rsidP="000650AA">
            <w:pPr>
              <w:autoSpaceDE w:val="0"/>
              <w:autoSpaceDN w:val="0"/>
              <w:adjustRightInd w:val="0"/>
              <w:ind w:left="1134" w:hanging="1134"/>
              <w:jc w:val="center"/>
              <w:rPr>
                <w:b/>
                <w:sz w:val="20"/>
                <w:szCs w:val="20"/>
              </w:rPr>
            </w:pPr>
            <w:r w:rsidRPr="000650AA">
              <w:rPr>
                <w:b/>
                <w:sz w:val="20"/>
                <w:szCs w:val="20"/>
              </w:rPr>
              <w:t>Prevent</w:t>
            </w:r>
          </w:p>
        </w:tc>
        <w:tc>
          <w:tcPr>
            <w:tcW w:w="1985" w:type="dxa"/>
            <w:gridSpan w:val="2"/>
            <w:tcBorders>
              <w:top w:val="single" w:sz="4" w:space="0" w:color="auto"/>
              <w:bottom w:val="single" w:sz="4" w:space="0" w:color="auto"/>
            </w:tcBorders>
          </w:tcPr>
          <w:p w14:paraId="7447777C"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Not prevent</w:t>
            </w:r>
          </w:p>
        </w:tc>
        <w:tc>
          <w:tcPr>
            <w:tcW w:w="2268" w:type="dxa"/>
            <w:gridSpan w:val="2"/>
            <w:vMerge/>
            <w:tcBorders>
              <w:top w:val="single" w:sz="4" w:space="0" w:color="auto"/>
              <w:bottom w:val="single" w:sz="4" w:space="0" w:color="auto"/>
            </w:tcBorders>
          </w:tcPr>
          <w:p w14:paraId="74BFD378" w14:textId="77777777" w:rsidR="003947E5" w:rsidRPr="000650AA" w:rsidRDefault="003947E5" w:rsidP="000650AA">
            <w:pPr>
              <w:autoSpaceDE w:val="0"/>
              <w:autoSpaceDN w:val="0"/>
              <w:adjustRightInd w:val="0"/>
              <w:ind w:left="1134" w:hanging="1134"/>
              <w:jc w:val="center"/>
              <w:rPr>
                <w:b/>
                <w:sz w:val="20"/>
                <w:szCs w:val="20"/>
              </w:rPr>
            </w:pPr>
          </w:p>
        </w:tc>
        <w:tc>
          <w:tcPr>
            <w:tcW w:w="1704" w:type="dxa"/>
            <w:vMerge/>
          </w:tcPr>
          <w:p w14:paraId="225003F6" w14:textId="77777777" w:rsidR="003947E5" w:rsidRPr="00962372" w:rsidRDefault="003947E5" w:rsidP="000650AA">
            <w:pPr>
              <w:autoSpaceDE w:val="0"/>
              <w:autoSpaceDN w:val="0"/>
              <w:adjustRightInd w:val="0"/>
              <w:ind w:left="1134" w:hanging="1134"/>
              <w:jc w:val="center"/>
              <w:rPr>
                <w:b/>
                <w:sz w:val="20"/>
                <w:szCs w:val="20"/>
              </w:rPr>
            </w:pPr>
          </w:p>
        </w:tc>
      </w:tr>
      <w:tr w:rsidR="003947E5" w:rsidRPr="000650AA" w14:paraId="423CC972" w14:textId="72B4CAE8" w:rsidTr="00103AFA">
        <w:trPr>
          <w:jc w:val="center"/>
        </w:trPr>
        <w:tc>
          <w:tcPr>
            <w:tcW w:w="2379" w:type="dxa"/>
            <w:vMerge/>
            <w:tcBorders>
              <w:top w:val="single" w:sz="4" w:space="0" w:color="auto"/>
              <w:bottom w:val="single" w:sz="4" w:space="0" w:color="auto"/>
            </w:tcBorders>
          </w:tcPr>
          <w:p w14:paraId="42C2187F" w14:textId="77777777" w:rsidR="003947E5" w:rsidRPr="000650AA" w:rsidRDefault="003947E5" w:rsidP="000650AA">
            <w:pPr>
              <w:autoSpaceDE w:val="0"/>
              <w:autoSpaceDN w:val="0"/>
              <w:adjustRightInd w:val="0"/>
              <w:ind w:left="1134" w:hanging="1134"/>
              <w:jc w:val="center"/>
              <w:rPr>
                <w:b/>
                <w:sz w:val="20"/>
                <w:szCs w:val="20"/>
              </w:rPr>
            </w:pPr>
          </w:p>
        </w:tc>
        <w:tc>
          <w:tcPr>
            <w:tcW w:w="735" w:type="dxa"/>
            <w:tcBorders>
              <w:top w:val="single" w:sz="4" w:space="0" w:color="auto"/>
              <w:bottom w:val="single" w:sz="4" w:space="0" w:color="auto"/>
            </w:tcBorders>
          </w:tcPr>
          <w:p w14:paraId="2B32A584"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N</w:t>
            </w:r>
          </w:p>
        </w:tc>
        <w:tc>
          <w:tcPr>
            <w:tcW w:w="850" w:type="dxa"/>
            <w:tcBorders>
              <w:top w:val="single" w:sz="4" w:space="0" w:color="auto"/>
              <w:bottom w:val="single" w:sz="4" w:space="0" w:color="auto"/>
            </w:tcBorders>
          </w:tcPr>
          <w:p w14:paraId="51048993"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w:t>
            </w:r>
          </w:p>
        </w:tc>
        <w:tc>
          <w:tcPr>
            <w:tcW w:w="820" w:type="dxa"/>
            <w:tcBorders>
              <w:top w:val="single" w:sz="4" w:space="0" w:color="auto"/>
              <w:bottom w:val="single" w:sz="4" w:space="0" w:color="auto"/>
            </w:tcBorders>
          </w:tcPr>
          <w:p w14:paraId="361EB753"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N</w:t>
            </w:r>
          </w:p>
        </w:tc>
        <w:tc>
          <w:tcPr>
            <w:tcW w:w="1165" w:type="dxa"/>
            <w:tcBorders>
              <w:top w:val="single" w:sz="4" w:space="0" w:color="auto"/>
              <w:bottom w:val="single" w:sz="4" w:space="0" w:color="auto"/>
            </w:tcBorders>
          </w:tcPr>
          <w:p w14:paraId="536BCCB5"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w:t>
            </w:r>
          </w:p>
        </w:tc>
        <w:tc>
          <w:tcPr>
            <w:tcW w:w="992" w:type="dxa"/>
            <w:tcBorders>
              <w:top w:val="single" w:sz="4" w:space="0" w:color="auto"/>
              <w:bottom w:val="single" w:sz="4" w:space="0" w:color="auto"/>
            </w:tcBorders>
          </w:tcPr>
          <w:p w14:paraId="6999289F"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n</w:t>
            </w:r>
          </w:p>
        </w:tc>
        <w:tc>
          <w:tcPr>
            <w:tcW w:w="1276" w:type="dxa"/>
            <w:tcBorders>
              <w:top w:val="single" w:sz="4" w:space="0" w:color="auto"/>
              <w:bottom w:val="single" w:sz="4" w:space="0" w:color="auto"/>
            </w:tcBorders>
          </w:tcPr>
          <w:p w14:paraId="33B8590B" w14:textId="77777777" w:rsidR="003947E5" w:rsidRPr="000650AA" w:rsidRDefault="003947E5" w:rsidP="000650AA">
            <w:pPr>
              <w:autoSpaceDE w:val="0"/>
              <w:autoSpaceDN w:val="0"/>
              <w:adjustRightInd w:val="0"/>
              <w:ind w:left="1134" w:hanging="1134"/>
              <w:jc w:val="center"/>
              <w:rPr>
                <w:b/>
                <w:sz w:val="20"/>
                <w:szCs w:val="20"/>
              </w:rPr>
            </w:pPr>
            <w:r w:rsidRPr="000650AA">
              <w:rPr>
                <w:b/>
                <w:sz w:val="20"/>
                <w:szCs w:val="20"/>
              </w:rPr>
              <w:t>%</w:t>
            </w:r>
          </w:p>
        </w:tc>
        <w:tc>
          <w:tcPr>
            <w:tcW w:w="1704" w:type="dxa"/>
            <w:vMerge/>
            <w:tcBorders>
              <w:bottom w:val="single" w:sz="4" w:space="0" w:color="auto"/>
            </w:tcBorders>
          </w:tcPr>
          <w:p w14:paraId="1CD91E9E" w14:textId="77777777" w:rsidR="003947E5" w:rsidRPr="00962372" w:rsidRDefault="003947E5" w:rsidP="000650AA">
            <w:pPr>
              <w:autoSpaceDE w:val="0"/>
              <w:autoSpaceDN w:val="0"/>
              <w:adjustRightInd w:val="0"/>
              <w:ind w:left="1134" w:hanging="1134"/>
              <w:jc w:val="center"/>
              <w:rPr>
                <w:b/>
                <w:sz w:val="20"/>
                <w:szCs w:val="20"/>
              </w:rPr>
            </w:pPr>
          </w:p>
        </w:tc>
      </w:tr>
      <w:tr w:rsidR="003947E5" w:rsidRPr="000650AA" w14:paraId="615749C0" w14:textId="5078624C" w:rsidTr="00103AFA">
        <w:trPr>
          <w:jc w:val="center"/>
        </w:trPr>
        <w:tc>
          <w:tcPr>
            <w:tcW w:w="2379" w:type="dxa"/>
            <w:tcBorders>
              <w:top w:val="single" w:sz="4" w:space="0" w:color="auto"/>
              <w:bottom w:val="single" w:sz="4" w:space="0" w:color="auto"/>
            </w:tcBorders>
          </w:tcPr>
          <w:p w14:paraId="3108FB13"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 xml:space="preserve">Barrier </w:t>
            </w:r>
          </w:p>
          <w:p w14:paraId="4094C784"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No barrier</w:t>
            </w:r>
          </w:p>
        </w:tc>
        <w:tc>
          <w:tcPr>
            <w:tcW w:w="735" w:type="dxa"/>
            <w:tcBorders>
              <w:top w:val="single" w:sz="4" w:space="0" w:color="auto"/>
              <w:bottom w:val="single" w:sz="4" w:space="0" w:color="auto"/>
            </w:tcBorders>
          </w:tcPr>
          <w:p w14:paraId="26B6F4F6"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15</w:t>
            </w:r>
          </w:p>
          <w:p w14:paraId="53E04B52"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4</w:t>
            </w:r>
          </w:p>
        </w:tc>
        <w:tc>
          <w:tcPr>
            <w:tcW w:w="850" w:type="dxa"/>
            <w:tcBorders>
              <w:top w:val="single" w:sz="4" w:space="0" w:color="auto"/>
              <w:bottom w:val="single" w:sz="4" w:space="0" w:color="auto"/>
            </w:tcBorders>
          </w:tcPr>
          <w:p w14:paraId="5EB66D57"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28,3</w:t>
            </w:r>
          </w:p>
          <w:p w14:paraId="178D99AB"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7,5</w:t>
            </w:r>
          </w:p>
        </w:tc>
        <w:tc>
          <w:tcPr>
            <w:tcW w:w="820" w:type="dxa"/>
            <w:tcBorders>
              <w:top w:val="single" w:sz="4" w:space="0" w:color="auto"/>
              <w:bottom w:val="single" w:sz="4" w:space="0" w:color="auto"/>
            </w:tcBorders>
          </w:tcPr>
          <w:p w14:paraId="2E4D00A6"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22</w:t>
            </w:r>
          </w:p>
          <w:p w14:paraId="5B1EBDBD"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12</w:t>
            </w:r>
          </w:p>
        </w:tc>
        <w:tc>
          <w:tcPr>
            <w:tcW w:w="1165" w:type="dxa"/>
            <w:tcBorders>
              <w:top w:val="single" w:sz="4" w:space="0" w:color="auto"/>
              <w:bottom w:val="single" w:sz="4" w:space="0" w:color="auto"/>
            </w:tcBorders>
          </w:tcPr>
          <w:p w14:paraId="4561E8E8"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41,5</w:t>
            </w:r>
          </w:p>
          <w:p w14:paraId="5830DFAD"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22,6</w:t>
            </w:r>
          </w:p>
        </w:tc>
        <w:tc>
          <w:tcPr>
            <w:tcW w:w="992" w:type="dxa"/>
            <w:tcBorders>
              <w:top w:val="single" w:sz="4" w:space="0" w:color="auto"/>
              <w:bottom w:val="single" w:sz="4" w:space="0" w:color="auto"/>
            </w:tcBorders>
          </w:tcPr>
          <w:p w14:paraId="6601D00E"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37</w:t>
            </w:r>
          </w:p>
          <w:p w14:paraId="6E978B9D"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16</w:t>
            </w:r>
          </w:p>
        </w:tc>
        <w:tc>
          <w:tcPr>
            <w:tcW w:w="1276" w:type="dxa"/>
            <w:tcBorders>
              <w:top w:val="single" w:sz="4" w:space="0" w:color="auto"/>
              <w:bottom w:val="single" w:sz="4" w:space="0" w:color="auto"/>
            </w:tcBorders>
          </w:tcPr>
          <w:p w14:paraId="46D400C5"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69,8</w:t>
            </w:r>
          </w:p>
          <w:p w14:paraId="4E2E4D46"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30,2</w:t>
            </w:r>
          </w:p>
        </w:tc>
        <w:tc>
          <w:tcPr>
            <w:tcW w:w="1704" w:type="dxa"/>
            <w:vMerge w:val="restart"/>
            <w:tcBorders>
              <w:top w:val="single" w:sz="4" w:space="0" w:color="auto"/>
            </w:tcBorders>
            <w:vAlign w:val="center"/>
          </w:tcPr>
          <w:p w14:paraId="355FE1B7" w14:textId="0977E1AF" w:rsidR="003947E5" w:rsidRPr="00962372" w:rsidRDefault="00A22804" w:rsidP="003947E5">
            <w:pPr>
              <w:autoSpaceDE w:val="0"/>
              <w:autoSpaceDN w:val="0"/>
              <w:adjustRightInd w:val="0"/>
              <w:ind w:left="1134" w:hanging="1134"/>
              <w:jc w:val="center"/>
              <w:rPr>
                <w:sz w:val="20"/>
                <w:szCs w:val="20"/>
              </w:rPr>
            </w:pPr>
            <w:r w:rsidRPr="00962372">
              <w:rPr>
                <w:sz w:val="20"/>
              </w:rPr>
              <w:t>0</w:t>
            </w:r>
            <w:r w:rsidRPr="00962372">
              <w:rPr>
                <w:sz w:val="20"/>
                <w:lang w:val="id-ID"/>
              </w:rPr>
              <w:t>.</w:t>
            </w:r>
            <w:r w:rsidR="003947E5" w:rsidRPr="00962372">
              <w:rPr>
                <w:sz w:val="20"/>
              </w:rPr>
              <w:t>358</w:t>
            </w:r>
          </w:p>
        </w:tc>
      </w:tr>
      <w:tr w:rsidR="003947E5" w:rsidRPr="000650AA" w14:paraId="53BA36C7" w14:textId="3A62F6BB" w:rsidTr="00103AFA">
        <w:trPr>
          <w:jc w:val="center"/>
        </w:trPr>
        <w:tc>
          <w:tcPr>
            <w:tcW w:w="2379" w:type="dxa"/>
            <w:tcBorders>
              <w:top w:val="single" w:sz="4" w:space="0" w:color="auto"/>
              <w:bottom w:val="single" w:sz="4" w:space="0" w:color="auto"/>
            </w:tcBorders>
          </w:tcPr>
          <w:p w14:paraId="6CB523FD" w14:textId="77777777" w:rsidR="003947E5" w:rsidRPr="00A7178E" w:rsidRDefault="003947E5" w:rsidP="00986067">
            <w:pPr>
              <w:autoSpaceDE w:val="0"/>
              <w:autoSpaceDN w:val="0"/>
              <w:adjustRightInd w:val="0"/>
              <w:ind w:left="1134" w:hanging="1134"/>
              <w:jc w:val="both"/>
              <w:rPr>
                <w:b/>
                <w:sz w:val="20"/>
                <w:szCs w:val="20"/>
              </w:rPr>
            </w:pPr>
            <w:r w:rsidRPr="00A7178E">
              <w:rPr>
                <w:b/>
                <w:sz w:val="20"/>
                <w:szCs w:val="20"/>
              </w:rPr>
              <w:t xml:space="preserve">Total </w:t>
            </w:r>
          </w:p>
        </w:tc>
        <w:tc>
          <w:tcPr>
            <w:tcW w:w="735" w:type="dxa"/>
            <w:tcBorders>
              <w:top w:val="single" w:sz="4" w:space="0" w:color="auto"/>
              <w:bottom w:val="single" w:sz="4" w:space="0" w:color="auto"/>
            </w:tcBorders>
          </w:tcPr>
          <w:p w14:paraId="7C32878F"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19</w:t>
            </w:r>
          </w:p>
        </w:tc>
        <w:tc>
          <w:tcPr>
            <w:tcW w:w="850" w:type="dxa"/>
            <w:tcBorders>
              <w:top w:val="single" w:sz="4" w:space="0" w:color="auto"/>
              <w:bottom w:val="single" w:sz="4" w:space="0" w:color="auto"/>
            </w:tcBorders>
          </w:tcPr>
          <w:p w14:paraId="3987734F"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35,8</w:t>
            </w:r>
          </w:p>
        </w:tc>
        <w:tc>
          <w:tcPr>
            <w:tcW w:w="820" w:type="dxa"/>
            <w:tcBorders>
              <w:top w:val="single" w:sz="4" w:space="0" w:color="auto"/>
              <w:bottom w:val="single" w:sz="4" w:space="0" w:color="auto"/>
            </w:tcBorders>
          </w:tcPr>
          <w:p w14:paraId="1C5F6901"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34</w:t>
            </w:r>
          </w:p>
        </w:tc>
        <w:tc>
          <w:tcPr>
            <w:tcW w:w="1165" w:type="dxa"/>
            <w:tcBorders>
              <w:top w:val="single" w:sz="4" w:space="0" w:color="auto"/>
              <w:bottom w:val="single" w:sz="4" w:space="0" w:color="auto"/>
            </w:tcBorders>
          </w:tcPr>
          <w:p w14:paraId="134C13E6"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64,2</w:t>
            </w:r>
          </w:p>
        </w:tc>
        <w:tc>
          <w:tcPr>
            <w:tcW w:w="992" w:type="dxa"/>
            <w:tcBorders>
              <w:top w:val="single" w:sz="4" w:space="0" w:color="auto"/>
              <w:bottom w:val="single" w:sz="4" w:space="0" w:color="auto"/>
            </w:tcBorders>
          </w:tcPr>
          <w:p w14:paraId="68A40B6F"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53</w:t>
            </w:r>
          </w:p>
        </w:tc>
        <w:tc>
          <w:tcPr>
            <w:tcW w:w="1276" w:type="dxa"/>
            <w:tcBorders>
              <w:top w:val="single" w:sz="4" w:space="0" w:color="auto"/>
              <w:bottom w:val="single" w:sz="4" w:space="0" w:color="auto"/>
            </w:tcBorders>
          </w:tcPr>
          <w:p w14:paraId="785799F5" w14:textId="77777777" w:rsidR="003947E5" w:rsidRPr="000650AA" w:rsidRDefault="003947E5" w:rsidP="00986067">
            <w:pPr>
              <w:autoSpaceDE w:val="0"/>
              <w:autoSpaceDN w:val="0"/>
              <w:adjustRightInd w:val="0"/>
              <w:ind w:left="1134" w:hanging="1134"/>
              <w:jc w:val="both"/>
              <w:rPr>
                <w:sz w:val="20"/>
                <w:szCs w:val="20"/>
              </w:rPr>
            </w:pPr>
            <w:r w:rsidRPr="000650AA">
              <w:rPr>
                <w:sz w:val="20"/>
                <w:szCs w:val="20"/>
              </w:rPr>
              <w:t>100</w:t>
            </w:r>
          </w:p>
        </w:tc>
        <w:tc>
          <w:tcPr>
            <w:tcW w:w="1704" w:type="dxa"/>
            <w:vMerge/>
            <w:tcBorders>
              <w:bottom w:val="single" w:sz="4" w:space="0" w:color="auto"/>
            </w:tcBorders>
          </w:tcPr>
          <w:p w14:paraId="01A04831" w14:textId="77777777" w:rsidR="003947E5" w:rsidRPr="000650AA" w:rsidRDefault="003947E5" w:rsidP="00986067">
            <w:pPr>
              <w:autoSpaceDE w:val="0"/>
              <w:autoSpaceDN w:val="0"/>
              <w:adjustRightInd w:val="0"/>
              <w:ind w:left="1134" w:hanging="1134"/>
              <w:jc w:val="both"/>
              <w:rPr>
                <w:sz w:val="20"/>
                <w:szCs w:val="20"/>
              </w:rPr>
            </w:pPr>
          </w:p>
        </w:tc>
      </w:tr>
    </w:tbl>
    <w:p w14:paraId="75EE3FCB" w14:textId="77777777" w:rsidR="00A7178E" w:rsidRDefault="00A7178E" w:rsidP="00DD19D4">
      <w:pPr>
        <w:widowControl w:val="0"/>
        <w:autoSpaceDE w:val="0"/>
        <w:autoSpaceDN w:val="0"/>
        <w:adjustRightInd w:val="0"/>
        <w:jc w:val="both"/>
        <w:rPr>
          <w:sz w:val="20"/>
          <w:szCs w:val="20"/>
        </w:rPr>
      </w:pPr>
    </w:p>
    <w:p w14:paraId="2C032EF7" w14:textId="3C8B65EC" w:rsidR="000650AA" w:rsidRPr="00A7178E" w:rsidRDefault="000650AA" w:rsidP="00ED5751">
      <w:pPr>
        <w:autoSpaceDE w:val="0"/>
        <w:autoSpaceDN w:val="0"/>
        <w:adjustRightInd w:val="0"/>
        <w:ind w:firstLine="567"/>
        <w:jc w:val="both"/>
        <w:rPr>
          <w:sz w:val="20"/>
          <w:szCs w:val="20"/>
        </w:rPr>
      </w:pPr>
      <w:r w:rsidRPr="000650AA">
        <w:rPr>
          <w:sz w:val="20"/>
          <w:szCs w:val="20"/>
        </w:rPr>
        <w:t>Based on table 5, it can be seen that there were 15 respondents with perceived obstacles to taking BGM preventive measures and 4 respondents did not feel obstacles to BGM preventive action. From these results, it can be seen that respondents do not feel obstacles so they do not act to prevent BGM. The results of statistical tests obtained p value of 0.358, which means the p value&gt; α 0.25, then it is not selected to do multiple logistic regression tests and there is no relationship between the obstacles perceived by respondents to preventive measures for children under five BGM.</w:t>
      </w:r>
    </w:p>
    <w:p w14:paraId="112D7946" w14:textId="77777777" w:rsidR="000650AA" w:rsidRDefault="000650AA" w:rsidP="00DD19D4">
      <w:pPr>
        <w:widowControl w:val="0"/>
        <w:autoSpaceDE w:val="0"/>
        <w:autoSpaceDN w:val="0"/>
        <w:adjustRightInd w:val="0"/>
        <w:jc w:val="both"/>
        <w:rPr>
          <w:b/>
          <w:sz w:val="20"/>
          <w:szCs w:val="20"/>
        </w:rPr>
      </w:pPr>
    </w:p>
    <w:p w14:paraId="6AB12419" w14:textId="408E511B" w:rsidR="00DD19D4" w:rsidRDefault="00F50129" w:rsidP="00DD19D4">
      <w:pPr>
        <w:widowControl w:val="0"/>
        <w:autoSpaceDE w:val="0"/>
        <w:autoSpaceDN w:val="0"/>
        <w:adjustRightInd w:val="0"/>
        <w:jc w:val="both"/>
        <w:rPr>
          <w:b/>
          <w:sz w:val="20"/>
          <w:szCs w:val="20"/>
        </w:rPr>
      </w:pPr>
      <w:r w:rsidRPr="00D45EEB">
        <w:rPr>
          <w:b/>
          <w:sz w:val="20"/>
          <w:szCs w:val="20"/>
        </w:rPr>
        <w:t>DISCUSSION</w:t>
      </w:r>
    </w:p>
    <w:p w14:paraId="6DB9EC96" w14:textId="77777777" w:rsidR="00ED5751" w:rsidRPr="00D45EEB" w:rsidRDefault="00ED5751" w:rsidP="00DD19D4">
      <w:pPr>
        <w:widowControl w:val="0"/>
        <w:autoSpaceDE w:val="0"/>
        <w:autoSpaceDN w:val="0"/>
        <w:adjustRightInd w:val="0"/>
        <w:jc w:val="both"/>
        <w:rPr>
          <w:sz w:val="20"/>
          <w:szCs w:val="20"/>
        </w:rPr>
      </w:pPr>
    </w:p>
    <w:p w14:paraId="0EF05CB1" w14:textId="1E4B9560" w:rsidR="00D45EEB" w:rsidRPr="00D45EEB" w:rsidRDefault="00D45EEB" w:rsidP="00ED5751">
      <w:pPr>
        <w:ind w:firstLine="567"/>
        <w:contextualSpacing/>
        <w:jc w:val="both"/>
        <w:rPr>
          <w:sz w:val="20"/>
          <w:szCs w:val="20"/>
        </w:rPr>
      </w:pPr>
      <w:r w:rsidRPr="00D45EEB">
        <w:rPr>
          <w:sz w:val="20"/>
          <w:szCs w:val="20"/>
        </w:rPr>
        <w:t>Perceived vulnerability refers to beliefs about the possibility of ac</w:t>
      </w:r>
      <w:r w:rsidR="00CC3B49">
        <w:rPr>
          <w:sz w:val="20"/>
          <w:szCs w:val="20"/>
        </w:rPr>
        <w:t xml:space="preserve">quiring a disease or condition. </w:t>
      </w:r>
      <w:r w:rsidRPr="00D45EEB">
        <w:rPr>
          <w:sz w:val="20"/>
          <w:szCs w:val="20"/>
        </w:rPr>
        <w:t>In order for someone to act to treat or prevent his disease, he must feel that he is susceptible (Susceptibility) to the disease. In this study, a person can be said to have high vulnerability if a person feels that he still has a great chance for his child to experience BGM. This vulnerability is assessed subjectively by each individual, so that each individual will have different beliefs or opinions about the vulnerability he feels. The greater the acceptance of risk, the more likely it is to create behaviors that reduce risk. In this study, the percentage who felt vulnerable was 34%.</w:t>
      </w:r>
      <w:bookmarkStart w:id="12" w:name="_Hlk56948849"/>
      <w:bookmarkEnd w:id="12"/>
    </w:p>
    <w:p w14:paraId="3620B85C" w14:textId="4560BE93" w:rsidR="00D45EEB" w:rsidRPr="00D45EEB" w:rsidRDefault="00D45EEB" w:rsidP="00ED5751">
      <w:pPr>
        <w:ind w:firstLine="567"/>
        <w:contextualSpacing/>
        <w:jc w:val="both"/>
        <w:rPr>
          <w:sz w:val="20"/>
          <w:szCs w:val="20"/>
        </w:rPr>
      </w:pPr>
      <w:proofErr w:type="gramStart"/>
      <w:r w:rsidRPr="00D45EEB">
        <w:rPr>
          <w:sz w:val="20"/>
          <w:szCs w:val="20"/>
        </w:rPr>
        <w:t>Respondents who do not feel vulnerable to BGM think that children are not susceptible to BGM and do not experience diseases caused by BGM.</w:t>
      </w:r>
      <w:proofErr w:type="gramEnd"/>
      <w:r w:rsidRPr="00D45EEB">
        <w:rPr>
          <w:sz w:val="20"/>
          <w:szCs w:val="20"/>
        </w:rPr>
        <w:t xml:space="preserve"> This is because the respondent feels that their child's weight is still normal and their diet is normal. Based on the results of the study, the results of this study indicated that 18.9% of respondents felt vulnerable to BGM and had taken good action in preventing BGM. The results of this study using multiple logistic regression test results indicate that there is a relationship between the perceived vulnerability of respondents to BGM prevention measures. This is in line with the research of</w:t>
      </w:r>
      <w:r w:rsidR="00B97159">
        <w:rPr>
          <w:sz w:val="20"/>
          <w:szCs w:val="20"/>
        </w:rPr>
        <w:t xml:space="preserve"> </w:t>
      </w:r>
      <w:r w:rsidR="00B97159">
        <w:rPr>
          <w:sz w:val="20"/>
          <w:szCs w:val="20"/>
        </w:rPr>
        <w:fldChar w:fldCharType="begin" w:fldLock="1"/>
      </w:r>
      <w:r w:rsidR="00B97159">
        <w:rPr>
          <w:sz w:val="20"/>
          <w:szCs w:val="20"/>
        </w:rPr>
        <w:instrText>ADDIN CSL_CITATION {"citationItems":[{"id":"ITEM-1","itemData":{"author":[{"dropping-particle":"","family":"Hayati, M., Sudiana, I.","given":"Kristiawati","non-dropping-particle":"","parse-names":false,"suffix":""}],"container-title":"Pediomaternal Nursing Journal","id":"ITEM-1","issued":{"date-parts":[["2014"]]},"page":"69-73","title":"Analisis Faktor Orang Tua yang Berhubungan dengan Status Gizi Balita Pendekatan Teori Health Belief Model","type":"article-journal","volume":"Vol 2, No"},"uris":["http://www.mendeley.com/documents/?uuid=b6442678-06ac-4992-af58-ff13c68d886b"]}],"mendeley":{"formattedCitation":"(Hayati, M., Sudiana, I., 2014)","manualFormatting":"Hayati, M. and Sudiana, I., (2014)","plainTextFormattedCitation":"(Hayati, M., Sudiana, I., 2014)","previouslyFormattedCitation":"(Hayati, M., Sudiana, I., 2014)"},"properties":{"noteIndex":0},"schema":"https://github.com/citation-style-language/schema/raw/master/csl-citation.json"}</w:instrText>
      </w:r>
      <w:r w:rsidR="00B97159">
        <w:rPr>
          <w:sz w:val="20"/>
          <w:szCs w:val="20"/>
        </w:rPr>
        <w:fldChar w:fldCharType="separate"/>
      </w:r>
      <w:r w:rsidR="00B97159">
        <w:rPr>
          <w:noProof/>
          <w:sz w:val="20"/>
          <w:szCs w:val="20"/>
        </w:rPr>
        <w:t>Hayati, M. and</w:t>
      </w:r>
      <w:r w:rsidR="00B97159" w:rsidRPr="00B97159">
        <w:rPr>
          <w:noProof/>
          <w:sz w:val="20"/>
          <w:szCs w:val="20"/>
        </w:rPr>
        <w:t xml:space="preserve"> Sudiana, I., </w:t>
      </w:r>
      <w:r w:rsidR="00B97159">
        <w:rPr>
          <w:noProof/>
          <w:sz w:val="20"/>
          <w:szCs w:val="20"/>
        </w:rPr>
        <w:t>(</w:t>
      </w:r>
      <w:r w:rsidR="00B97159" w:rsidRPr="00B97159">
        <w:rPr>
          <w:noProof/>
          <w:sz w:val="20"/>
          <w:szCs w:val="20"/>
        </w:rPr>
        <w:t>2014)</w:t>
      </w:r>
      <w:r w:rsidR="00B97159">
        <w:rPr>
          <w:sz w:val="20"/>
          <w:szCs w:val="20"/>
        </w:rPr>
        <w:fldChar w:fldCharType="end"/>
      </w:r>
      <w:r w:rsidR="00B97159">
        <w:rPr>
          <w:sz w:val="20"/>
          <w:szCs w:val="20"/>
        </w:rPr>
        <w:t>,</w:t>
      </w:r>
      <w:r w:rsidRPr="00D45EEB">
        <w:rPr>
          <w:sz w:val="20"/>
          <w:szCs w:val="20"/>
        </w:rPr>
        <w:t xml:space="preserve"> that some respondents, namely 95 people (84.1%), have a perception of sufficient vulnerability to the nutritional status of children under five.</w:t>
      </w:r>
      <w:bookmarkStart w:id="13" w:name="_Hlk56948871"/>
      <w:bookmarkEnd w:id="13"/>
    </w:p>
    <w:p w14:paraId="204D74E5" w14:textId="2F4318F3" w:rsidR="00D45EEB" w:rsidRPr="00D45EEB" w:rsidRDefault="00D45EEB" w:rsidP="00ED5751">
      <w:pPr>
        <w:ind w:firstLine="567"/>
        <w:contextualSpacing/>
        <w:jc w:val="both"/>
        <w:rPr>
          <w:sz w:val="20"/>
          <w:szCs w:val="20"/>
        </w:rPr>
      </w:pPr>
      <w:r w:rsidRPr="00D45EEB">
        <w:rPr>
          <w:sz w:val="20"/>
          <w:szCs w:val="20"/>
        </w:rPr>
        <w:t xml:space="preserve">The vulnerability felt by respondents to providing food intake to their children according to balanced nutrition, the feeling of experiencing bad nutrition in their children. BGM that causes the widespread of </w:t>
      </w:r>
      <w:r w:rsidRPr="00D45EEB">
        <w:rPr>
          <w:sz w:val="20"/>
          <w:szCs w:val="20"/>
        </w:rPr>
        <w:lastRenderedPageBreak/>
        <w:t>malnutrition is incorrect behavior among the community in selecting and providing food to family members, especially children</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{"citationItems":[{"id":"ITEM-1","itemData":{"ISBN":"0094-0496","ISSN":"16157605","PMID":"26219270","abstract":"For the construction of an efficient copper waste treatment system, a cell surface display strategy was employed. The copper adsorption ability of recombinant bacterial strains displaying three different copper binding peptides were evaluated in LB Luria-Bertani medium (LB), artificial wastewater, and copper phthalocyanine containing textile dye industry wastewater samples. Structural characteristics of the three peptides were also analyzed by similarity-based structure modeling. The best binding peptide was chosen for the construction of a dimeric peptide display and the adsorption ability of the monomeric and dimeric peptide displayed strains were compared. The dimeric peptide displayed strain showed superior copper adsorption in all three tested conditions (LB, artificial wastewater, and textile dye industry wastewater). When the strains were exposed to copper phthalocyanine dye polluted wastewater, the dimeric peptide display [543.27 micromol/g DCW dry cell weight (DCW)] showed higher adsorption of copper when compared with the monomeric strains (243.53 micromol/g DCW).","author":[{"dropping-particle":"","family":"Istiany","given":"Ari","non-dropping-particle":"","parse-names":false,"suffix":""},{"dropping-particle":"","family":"Rusilanty","given":"","non-dropping-particle":"","parse-names":false,"suffix":""}],"container-title":"Buku Ajar Ilmu Gizi","id":"ITEM-1","issue":"1","issued":{"date-parts":[["2014"]]},"number-of-pages":"631","publisher":"PT. Remaja Rosdakarya","publisher-place":"Bandung","title":"Gizi Terapan","type":"book","volume":"40"},"uris":["http://www.mendeley.com/documents/?uuid=d0a25c40-58b9-41e7-9910-041229b4d69d"]}],"mendeley":{"formattedCitation":"(Istiany and Rusilanty, 2014)","plainTextFormattedCitation":"(Istiany and Rusilanty, 2014)","previouslyFormattedCitation":"(Istiany and Rusilanty, 2014)"},"properties":{"noteIndex":0},"schema":"https://github.com/citation-style-language/schema/raw/master/csl-citation.json"}</w:instrText>
      </w:r>
      <w:r w:rsidR="00B814C9">
        <w:rPr>
          <w:sz w:val="20"/>
          <w:szCs w:val="20"/>
        </w:rPr>
        <w:fldChar w:fldCharType="separate"/>
      </w:r>
      <w:r w:rsidR="00B814C9" w:rsidRPr="00B814C9">
        <w:rPr>
          <w:noProof/>
          <w:sz w:val="20"/>
          <w:szCs w:val="20"/>
        </w:rPr>
        <w:t>(Istiany and Rusilanty, 2014)</w:t>
      </w:r>
      <w:r w:rsidR="00B814C9">
        <w:rPr>
          <w:sz w:val="20"/>
          <w:szCs w:val="20"/>
        </w:rPr>
        <w:fldChar w:fldCharType="end"/>
      </w:r>
      <w:r w:rsidR="00B814C9">
        <w:rPr>
          <w:sz w:val="20"/>
          <w:szCs w:val="20"/>
        </w:rPr>
        <w:t>.</w:t>
      </w:r>
      <w:r w:rsidR="005F2819" w:rsidRPr="00D45EEB">
        <w:rPr>
          <w:sz w:val="20"/>
          <w:szCs w:val="20"/>
        </w:rPr>
        <w:t xml:space="preserve"> </w:t>
      </w:r>
    </w:p>
    <w:p w14:paraId="568A3601" w14:textId="3CCD847D" w:rsidR="00D45EEB" w:rsidRPr="00D45EEB" w:rsidRDefault="00D45EEB" w:rsidP="00ED5751">
      <w:pPr>
        <w:ind w:firstLine="567"/>
        <w:contextualSpacing/>
        <w:jc w:val="both"/>
        <w:rPr>
          <w:sz w:val="20"/>
          <w:szCs w:val="20"/>
        </w:rPr>
      </w:pPr>
      <w:r w:rsidRPr="00D45EEB">
        <w:rPr>
          <w:sz w:val="20"/>
          <w:szCs w:val="20"/>
        </w:rPr>
        <w:t xml:space="preserve">Calorie needs are included in the very insufficient criteria, </w:t>
      </w:r>
      <w:proofErr w:type="gramStart"/>
      <w:r w:rsidRPr="00D45EEB">
        <w:rPr>
          <w:sz w:val="20"/>
          <w:szCs w:val="20"/>
        </w:rPr>
        <w:t>then</w:t>
      </w:r>
      <w:proofErr w:type="gramEnd"/>
      <w:r w:rsidRPr="00D45EEB">
        <w:rPr>
          <w:sz w:val="20"/>
          <w:szCs w:val="20"/>
        </w:rPr>
        <w:t xml:space="preserve"> protein needs are included in the less criteria, for fat needs are in the less criteria, and carbohydrate needs are categorized as very less. Unbalanced nutrition causes toddlers to experience BGM, it is recommended for mothers to always monitor the state of the toddler's nutritional status on a regular and scheduled basis </w:t>
      </w:r>
      <w:r w:rsidR="00B814C9">
        <w:rPr>
          <w:sz w:val="20"/>
          <w:szCs w:val="20"/>
        </w:rPr>
        <w:fldChar w:fldCharType="begin" w:fldLock="1"/>
      </w:r>
      <w:r w:rsidR="00B814C9">
        <w:rPr>
          <w:sz w:val="20"/>
          <w:szCs w:val="20"/>
        </w:rPr>
        <w:instrText>ADDIN CSL_CITATION {"citationItems":[{"id":"ITEM-1","itemData":{"abstract":":BGM adalah anak dengan berat badan kurang menurut umur dibandingkan dengan standar yang diketahui secara visual dengan melihat plot dalam KMS berada dibawah garis merah. Batita BGM tidak selalu menderita gizi buruk tapi menjadi indikator awal mengalami masalah gizi. Karena pentingnya penilaian status gizi, maka perlu dilakukan identifikasi pola konsumsi. Penelitian ini betujuan mengidentifikasi jenis makan, jumlah makanan, dan frekuensi makanan batita BGM. Metode: Penelitian ini menggunakan rancangan penelitian studi kasus dengan melakukan pengamatan secara deskriptif observasional pada batita usia 1-3 tahun dengan BGM, dengan cara mengidentifikasi pola makan batita yang mengalami BGM. Subyek penilitian 1 orang yaitu batita “Z” dipilih berdasarkan kriteria inklusi dan eksklusi. Peneliti menilai pola makan batita “Z” selama 1 bulan. Setelah itu membandingkan dengan AKG. Hasil penelitian: Rata-rata dalam 1 hari kebutuhan kalori, protein, lemak dan karbohidrat batita “Z” adalah untuk kalori 571,727 kkal perhari, protein 21,932 gr perhari, lemak 19,291 gr perhari dan karbohidrat 72,903 gr perhari. Sedangkan kebutuhan menurut AKG batita umur 1 tahun membutuhkan kalori 1100 kkal per hari, protein 27,5 gr, lemak 24,4 gr per hari, dan karbohidrat 192,5 gr per hari. Maka batita “Z” dalam pola konsumsinya kurang memenuhi kebutuhan. Diskusi: disarankan bagi ibu selalu memantau keadaan status gizi batita secara rutin dan","author":[{"dropping-particle":"","family":"Safitri, Yeni Agus dan Indah","given":"Puji Darmaningtyas","non-dropping-particle":"","parse-names":false,"suffix":""}],"container-title":"Hesrti Wira Sakti","id":"ITEM-1","issue":"1","issued":{"date-parts":[["2016"]]},"page":"94-100","title":"Pola Makan Battita \"Z\" Dengan Status Gizi BGM (Bawah Garis Merah) Di Puskesmas Ketawang Kabupaten Malang","type":"article-journal","volume":"4"},"uris":["http://www.mendeley.com/documents/?uuid=a29c4011-9905-4198-ad67-e8c013ca5b7a"]}],"mendeley":{"formattedCitation":"(Safitri, Yeni Agus dan Indah, 2016)","plainTextFormattedCitation":"(Safitri, Yeni Agus dan Indah, 2016)","previouslyFormattedCitation":"(Safitri, Yeni Agus dan Indah, 2016)"},"properties":{"noteIndex":0},"schema":"https://github.com/citation-style-language/schema/raw/master/csl-citation.json"}</w:instrText>
      </w:r>
      <w:r w:rsidR="00B814C9">
        <w:rPr>
          <w:sz w:val="20"/>
          <w:szCs w:val="20"/>
        </w:rPr>
        <w:fldChar w:fldCharType="separate"/>
      </w:r>
      <w:r w:rsidR="00B814C9" w:rsidRPr="00B814C9">
        <w:rPr>
          <w:noProof/>
          <w:sz w:val="20"/>
          <w:szCs w:val="20"/>
        </w:rPr>
        <w:t>(Safitri, Yeni Agus dan Indah, 2016)</w:t>
      </w:r>
      <w:r w:rsidR="00B814C9">
        <w:rPr>
          <w:sz w:val="20"/>
          <w:szCs w:val="20"/>
        </w:rPr>
        <w:fldChar w:fldCharType="end"/>
      </w:r>
      <w:r w:rsidRPr="00D45EEB">
        <w:rPr>
          <w:sz w:val="20"/>
          <w:szCs w:val="20"/>
        </w:rPr>
        <w:t xml:space="preserve">. One of the causes of nutritional problems is a lack of energy protein (KEP), which is low consumption of energy and protein, which includes marasmus, kwashiorkor, or </w:t>
      </w:r>
      <w:proofErr w:type="spellStart"/>
      <w:r w:rsidRPr="00D45EEB">
        <w:rPr>
          <w:sz w:val="20"/>
          <w:szCs w:val="20"/>
        </w:rPr>
        <w:t>marasmic-kwashiokor</w:t>
      </w:r>
      <w:proofErr w:type="spellEnd"/>
      <w:r w:rsidR="002151F5">
        <w:rPr>
          <w:sz w:val="20"/>
          <w:szCs w:val="20"/>
        </w:rPr>
        <w:t xml:space="preserve"> </w:t>
      </w:r>
      <w:r w:rsidRPr="00D45EEB">
        <w:rPr>
          <w:sz w:val="20"/>
          <w:szCs w:val="20"/>
        </w:rPr>
        <w:t xml:space="preserve"> </w:t>
      </w:r>
      <w:bookmarkStart w:id="14" w:name="_Hlk56948885"/>
      <w:bookmarkStart w:id="15" w:name="_Hlk56948896"/>
      <w:bookmarkEnd w:id="14"/>
      <w:bookmarkEnd w:id="15"/>
      <w:r w:rsidR="00B814C9">
        <w:rPr>
          <w:sz w:val="20"/>
          <w:szCs w:val="20"/>
        </w:rPr>
        <w:fldChar w:fldCharType="begin" w:fldLock="1"/>
      </w:r>
      <w:r w:rsidR="00B814C9">
        <w:rPr>
          <w:sz w:val="20"/>
          <w:szCs w:val="20"/>
        </w:rPr>
        <w:instrText>ADDIN CSL_CITATION {"citationItems":[{"id":"ITEM-1","itemData":{"ISBN":"0094-0496","ISSN":"16157605","PMID":"26219270","abstract":"For the construction of an efficient copper waste treatment system, a cell surface display strategy was employed. The copper adsorption ability of recombinant bacterial strains displaying three different copper binding peptides were evaluated in LB Luria-Bertani medium (LB), artificial wastewater, and copper phthalocyanine containing textile dye industry wastewater samples. Structural characteristics of the three peptides were also analyzed by similarity-based structure modeling. The best binding peptide was chosen for the construction of a dimeric peptide display and the adsorption ability of the monomeric and dimeric peptide displayed strains were compared. The dimeric peptide displayed strain showed superior copper adsorption in all three tested conditions (LB, artificial wastewater, and textile dye industry wastewater). When the strains were exposed to copper phthalocyanine dye polluted wastewater, the dimeric peptide display [543.27 micromol/g DCW dry cell weight (DCW)] showed higher adsorption of copper when compared with the monomeric strains (243.53 micromol/g DCW).","author":[{"dropping-particle":"","family":"Istiany","given":"Ari","non-dropping-particle":"","parse-names":false,"suffix":""},{"dropping-particle":"","family":"Rusilanty","given":"","non-dropping-particle":"","parse-names":false,"suffix":""}],"container-title":"Buku Ajar Ilmu Gizi","id":"ITEM-1","issue":"1","issued":{"date-parts":[["2014"]]},"number-of-pages":"631","publisher":"PT. Remaja Rosdakarya","publisher-place":"Bandung","title":"Gizi Terapan","type":"book","volume":"40"},"uris":["http://www.mendeley.com/documents/?uuid=d0a25c40-58b9-41e7-9910-041229b4d69d"]}],"mendeley":{"formattedCitation":"(Istiany and Rusilanty, 2014)","plainTextFormattedCitation":"(Istiany and Rusilanty, 2014)","previouslyFormattedCitation":"(Istiany and Rusilanty, 2014)"},"properties":{"noteIndex":0},"schema":"https://github.com/citation-style-language/schema/raw/master/csl-citation.json"}</w:instrText>
      </w:r>
      <w:r w:rsidR="00B814C9">
        <w:rPr>
          <w:sz w:val="20"/>
          <w:szCs w:val="20"/>
        </w:rPr>
        <w:fldChar w:fldCharType="separate"/>
      </w:r>
      <w:r w:rsidR="00B814C9" w:rsidRPr="00B814C9">
        <w:rPr>
          <w:noProof/>
          <w:sz w:val="20"/>
          <w:szCs w:val="20"/>
        </w:rPr>
        <w:t>(Istiany and Rusilanty, 2014)</w:t>
      </w:r>
      <w:r w:rsidR="00B814C9">
        <w:rPr>
          <w:sz w:val="20"/>
          <w:szCs w:val="20"/>
        </w:rPr>
        <w:fldChar w:fldCharType="end"/>
      </w:r>
    </w:p>
    <w:p w14:paraId="0F46A2C7" w14:textId="71F9CA44" w:rsidR="00D45EEB" w:rsidRPr="00D45EEB" w:rsidRDefault="00D45EEB" w:rsidP="00ED5751">
      <w:pPr>
        <w:ind w:firstLine="567"/>
        <w:contextualSpacing/>
        <w:jc w:val="both"/>
        <w:rPr>
          <w:sz w:val="20"/>
          <w:szCs w:val="20"/>
        </w:rPr>
      </w:pPr>
      <w:r w:rsidRPr="00D45EEB">
        <w:rPr>
          <w:sz w:val="20"/>
          <w:szCs w:val="20"/>
        </w:rPr>
        <w:t>Feelings about the seriousness of contracting the disease or not being treated include evaluation of medical and clinical consequences (for example, death, disability, and pain) and possible social consequences (such as the effects of the condition on work, family life, and social relationships). The combination of vulnerability and severity has been labeled as a perceived threat</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{"citationItems":[{"id":"ITEM-1","itemData":{"URL":"doi: http://hdl.handle.net/2027/spo.10381607.0007.102.","author":[{"dropping-particle":"","family":"Glanz, K., Rimer","given":"B. K. K. Viswanath","non-dropping-particle":"","parse-names":false,"suffix":""}],"id":"ITEM-1","issued":{"date-parts":[["2018"]]},"title":"Health and Health","type":"webpage"},"uris":["http://www.mendeley.com/documents/?uuid=9653d92c-f481-48c4-a432-df33f3efb0d9"]}],"mendeley":{"formattedCitation":"(Glanz, K., Rimer, 2018)","plainTextFormattedCitation":"(Glanz, K., Rimer, 2018)","previouslyFormattedCitation":"(Glanz, K., Rimer, 2018)"},"properties":{"noteIndex":0},"schema":"https://github.com/citation-style-language/schema/raw/master/csl-citation.json"}</w:instrText>
      </w:r>
      <w:r w:rsidR="00B814C9">
        <w:rPr>
          <w:sz w:val="20"/>
          <w:szCs w:val="20"/>
        </w:rPr>
        <w:fldChar w:fldCharType="separate"/>
      </w:r>
      <w:r w:rsidR="00B814C9" w:rsidRPr="00B814C9">
        <w:rPr>
          <w:noProof/>
          <w:sz w:val="20"/>
          <w:szCs w:val="20"/>
        </w:rPr>
        <w:t>(Glanz, K., Rimer, 2018)</w:t>
      </w:r>
      <w:r w:rsidR="00B814C9">
        <w:rPr>
          <w:sz w:val="20"/>
          <w:szCs w:val="20"/>
        </w:rPr>
        <w:fldChar w:fldCharType="end"/>
      </w:r>
      <w:r w:rsidR="00B814C9">
        <w:rPr>
          <w:sz w:val="20"/>
          <w:szCs w:val="20"/>
        </w:rPr>
        <w:t xml:space="preserve">. </w:t>
      </w:r>
      <w:proofErr w:type="gramStart"/>
      <w:r w:rsidRPr="00D45EEB">
        <w:rPr>
          <w:sz w:val="20"/>
          <w:szCs w:val="20"/>
        </w:rPr>
        <w:t>So the higher the seriousness and severity of the risk to be suffered, the greater the need to seek preventive measures.</w:t>
      </w:r>
      <w:proofErr w:type="gramEnd"/>
      <w:r w:rsidRPr="00D45EEB">
        <w:rPr>
          <w:sz w:val="20"/>
          <w:szCs w:val="20"/>
        </w:rPr>
        <w:t xml:space="preserve"> In this study, the severity felt by respondents was the condition of the occurrence of BGM so that the child was affected by malnutrition. In this study, the severity was 45.3%. Respondents who did not feel the severity of BGM thought that children were not susceptible to BGM and did not experience diseases caused by BGM, namely malnutrition. This is because the respondent's child is still normal weight, normal appetite and does not get sick often.</w:t>
      </w:r>
    </w:p>
    <w:p w14:paraId="23DF5AAD" w14:textId="4322C4C6" w:rsidR="00D45EEB" w:rsidRPr="00D45EEB" w:rsidRDefault="00D45EEB" w:rsidP="00ED5751">
      <w:pPr>
        <w:ind w:firstLine="567"/>
        <w:contextualSpacing/>
        <w:jc w:val="both"/>
        <w:rPr>
          <w:sz w:val="20"/>
          <w:szCs w:val="20"/>
        </w:rPr>
      </w:pPr>
      <w:r w:rsidRPr="00D45EEB">
        <w:rPr>
          <w:sz w:val="20"/>
          <w:szCs w:val="20"/>
        </w:rPr>
        <w:t>In the logistic regression test results, it was found that the perceived severity variable had no relationship with BGM prevention measures. The results of this study are not in line with the research of</w:t>
      </w:r>
      <w:r w:rsidR="00B97159">
        <w:rPr>
          <w:sz w:val="20"/>
          <w:szCs w:val="20"/>
        </w:rPr>
        <w:t xml:space="preserve"> </w:t>
      </w:r>
      <w:r w:rsidR="00B97159">
        <w:rPr>
          <w:sz w:val="20"/>
          <w:szCs w:val="20"/>
        </w:rPr>
        <w:fldChar w:fldCharType="begin" w:fldLock="1"/>
      </w:r>
      <w:r w:rsidR="00B97159">
        <w:rPr>
          <w:sz w:val="20"/>
          <w:szCs w:val="20"/>
        </w:rPr>
        <w:instrText>ADDIN CSL_CITATION {"citationItems":[{"id":"ITEM-1","itemData":{"author":[{"dropping-particle":"","family":"Hayati, M., Sudiana, I.","given":"Kristiawati","non-dropping-particle":"","parse-names":false,"suffix":""}],"container-title":"Pediomaternal Nursing Journal","id":"ITEM-1","issued":{"date-parts":[["2014"]]},"page":"69-73","title":"Analisis Faktor Orang Tua yang Berhubungan dengan Status Gizi Balita Pendekatan Teori Health Belief Model","type":"article-journal","volume":"Vol 2, No"},"uris":["http://www.mendeley.com/documents/?uuid=b6442678-06ac-4992-af58-ff13c68d886b"]}],"mendeley":{"formattedCitation":"(Hayati, M., Sudiana, I., 2014)","manualFormatting":"Hayati, M. and Sudiana, I., (2014)","plainTextFormattedCitation":"(Hayati, M., Sudiana, I., 2014)","previouslyFormattedCitation":"(Hayati, M., Sudiana, I., 2014)"},"properties":{"noteIndex":0},"schema":"https://github.com/citation-style-language/schema/raw/master/csl-citation.json"}</w:instrText>
      </w:r>
      <w:r w:rsidR="00B97159">
        <w:rPr>
          <w:sz w:val="20"/>
          <w:szCs w:val="20"/>
        </w:rPr>
        <w:fldChar w:fldCharType="separate"/>
      </w:r>
      <w:r w:rsidR="00B97159">
        <w:rPr>
          <w:noProof/>
          <w:sz w:val="20"/>
          <w:szCs w:val="20"/>
        </w:rPr>
        <w:t>Hayati, M. and</w:t>
      </w:r>
      <w:r w:rsidR="00B97159" w:rsidRPr="00B97159">
        <w:rPr>
          <w:noProof/>
          <w:sz w:val="20"/>
          <w:szCs w:val="20"/>
        </w:rPr>
        <w:t xml:space="preserve"> Sudiana, I., </w:t>
      </w:r>
      <w:r w:rsidR="00B97159">
        <w:rPr>
          <w:noProof/>
          <w:sz w:val="20"/>
          <w:szCs w:val="20"/>
        </w:rPr>
        <w:t>(</w:t>
      </w:r>
      <w:r w:rsidR="00B97159" w:rsidRPr="00B97159">
        <w:rPr>
          <w:noProof/>
          <w:sz w:val="20"/>
          <w:szCs w:val="20"/>
        </w:rPr>
        <w:t>2014)</w:t>
      </w:r>
      <w:r w:rsidR="00B97159">
        <w:rPr>
          <w:sz w:val="20"/>
          <w:szCs w:val="20"/>
        </w:rPr>
        <w:fldChar w:fldCharType="end"/>
      </w:r>
      <w:r w:rsidR="00B97159">
        <w:rPr>
          <w:sz w:val="20"/>
          <w:szCs w:val="20"/>
        </w:rPr>
        <w:t>,</w:t>
      </w:r>
      <w:r w:rsidRPr="00D45EEB">
        <w:rPr>
          <w:sz w:val="20"/>
          <w:szCs w:val="20"/>
        </w:rPr>
        <w:t xml:space="preserve"> it is known that 86 people (76.1%) have a perception of sufficient seriousness towards the nutritional status of children under five. </w:t>
      </w:r>
    </w:p>
    <w:p w14:paraId="4AA66308" w14:textId="5B4EB730" w:rsidR="00D45EEB" w:rsidRPr="00D45EEB" w:rsidRDefault="00D45EEB" w:rsidP="00ED5751">
      <w:pPr>
        <w:ind w:firstLine="567"/>
        <w:contextualSpacing/>
        <w:jc w:val="both"/>
        <w:rPr>
          <w:sz w:val="20"/>
          <w:szCs w:val="20"/>
        </w:rPr>
      </w:pPr>
      <w:r w:rsidRPr="00D45EEB">
        <w:rPr>
          <w:sz w:val="20"/>
          <w:szCs w:val="20"/>
        </w:rPr>
        <w:t>There is no relationship of severity that is felt to this toddler precaution due to the lack of seriousness of the mother to the severity of the toddler if it does not provide good parenting in feeding will experience BGM and then the toddler will experience malnutri</w:t>
      </w:r>
      <w:r w:rsidR="002151F5">
        <w:rPr>
          <w:sz w:val="20"/>
          <w:szCs w:val="20"/>
        </w:rPr>
        <w:t>tion. According to</w:t>
      </w:r>
      <w:r w:rsidR="00B97159">
        <w:rPr>
          <w:sz w:val="20"/>
          <w:szCs w:val="20"/>
        </w:rPr>
        <w:t xml:space="preserve"> </w:t>
      </w:r>
      <w:r w:rsidR="00B97159">
        <w:rPr>
          <w:sz w:val="20"/>
          <w:szCs w:val="20"/>
        </w:rPr>
        <w:fldChar w:fldCharType="begin" w:fldLock="1"/>
      </w:r>
      <w:r w:rsidR="00B97159">
        <w:rPr>
          <w:sz w:val="20"/>
          <w:szCs w:val="20"/>
        </w:rPr>
        <w:instrText>ADDIN CSL_CITATION {"citationItems":[{"id":"ITEM-1","itemData":{"author":[{"dropping-particle":"","family":"Rizky","given":"Ayu","non-dropping-particle":"","parse-names":false,"suffix":""},{"dropping-particle":"","family":"Hernawan","given":"Andri","non-dropping-particle":"","parse-names":false,"suffix":""},{"dropping-particle":"","family":"Budiastutik","given":"Indah","non-dropping-particle":"","parse-names":false,"suffix":""}],"id":"ITEM-1","issued":{"date-parts":[["2015"]]},"page":"22-29","title":"Correlation of eating pattern, exclusive breastfeeding, accinnation, health check routineness and the incidence of underweight children at work area of puskesmas simpang empat kayu lapis sekadau","type":"article-journal"},"uris":["http://www.mendeley.com/documents/?uuid=a67a4919-64bb-4021-8e90-90ef4761cd72"]}],"mendeley":{"formattedCitation":"(Rizky, Hernawan and Budiastutik, 2015)","manualFormatting":"Rizky, Hernawan and Budiastutik, (2015)","plainTextFormattedCitation":"(Rizky, Hernawan and Budiastutik, 2015)","previouslyFormattedCitation":"(Rizky, Hernawan and Budiastutik, 2015)"},"properties":{"noteIndex":0},"schema":"https://github.com/citation-style-language/schema/raw/master/csl-citation.json"}</w:instrText>
      </w:r>
      <w:r w:rsidR="00B97159">
        <w:rPr>
          <w:sz w:val="20"/>
          <w:szCs w:val="20"/>
        </w:rPr>
        <w:fldChar w:fldCharType="separate"/>
      </w:r>
      <w:r w:rsidR="00B97159" w:rsidRPr="00B97159">
        <w:rPr>
          <w:noProof/>
          <w:sz w:val="20"/>
          <w:szCs w:val="20"/>
        </w:rPr>
        <w:t xml:space="preserve">Rizky, Hernawan and Budiastutik, </w:t>
      </w:r>
      <w:r w:rsidR="00B97159">
        <w:rPr>
          <w:noProof/>
          <w:sz w:val="20"/>
          <w:szCs w:val="20"/>
        </w:rPr>
        <w:t>(</w:t>
      </w:r>
      <w:r w:rsidR="00B97159" w:rsidRPr="00B97159">
        <w:rPr>
          <w:noProof/>
          <w:sz w:val="20"/>
          <w:szCs w:val="20"/>
        </w:rPr>
        <w:t>2015)</w:t>
      </w:r>
      <w:r w:rsidR="00B97159">
        <w:rPr>
          <w:sz w:val="20"/>
          <w:szCs w:val="20"/>
        </w:rPr>
        <w:fldChar w:fldCharType="end"/>
      </w:r>
      <w:r w:rsidR="002151F5">
        <w:rPr>
          <w:sz w:val="20"/>
          <w:szCs w:val="20"/>
        </w:rPr>
        <w:t xml:space="preserve"> </w:t>
      </w:r>
      <w:r w:rsidRPr="00D45EEB">
        <w:rPr>
          <w:sz w:val="20"/>
          <w:szCs w:val="20"/>
        </w:rPr>
        <w:t xml:space="preserve">research results, there is a relationship between protein intake and BGM, because children need high enough protein to support their growth process </w:t>
      </w:r>
      <w:r w:rsidR="002151F5">
        <w:rPr>
          <w:sz w:val="20"/>
          <w:szCs w:val="20"/>
        </w:rPr>
        <w:fldChar w:fldCharType="begin" w:fldLock="1"/>
      </w:r>
      <w:r w:rsidR="005F2819">
        <w:rPr>
          <w:sz w:val="20"/>
          <w:szCs w:val="20"/>
        </w:rPr>
        <w:instrText>ADDIN CSL_CITATION {"citationItems":[{"id":"ITEM-1","itemData":{"author":[{"dropping-particle":"","family":"Rizky","given":"Ayu","non-dropping-particle":"","parse-names":false,"suffix":""},{"dropping-particle":"","family":"Hernawan","given":"Andri","non-dropping-particle":"","parse-names":false,"suffix":""},{"dropping-particle":"","family":"Budiastutik","given":"Indah","non-dropping-particle":"","parse-names":false,"suffix":""}],"id":"ITEM-1","issued":{"date-parts":[["2015"]]},"page":"22-29","title":"Correlation of eating pattern, exclusive breastfeeding, accinnation, health check routineness and the incidence of underweight children at work area of puskesmas simpang empat kayu lapis sekadau","type":"article-journal"},"uris":["http://www.mendeley.com/documents/?uuid=a67a4919-64bb-4021-8e90-90ef4761cd72"]}],"mendeley":{"formattedCitation":"(Rizky, Hernawan and Budiastutik, 2015)","plainTextFormattedCitation":"(Rizky, Hernawan and Budiastutik, 2015)","previouslyFormattedCitation":"(Rizky, Hernawan and Budiastutik, 2015)"},"properties":{"noteIndex":0},"schema":"https://github.com/citation-style-language/schema/raw/master/csl-citation.json"}</w:instrText>
      </w:r>
      <w:r w:rsidR="002151F5">
        <w:rPr>
          <w:sz w:val="20"/>
          <w:szCs w:val="20"/>
        </w:rPr>
        <w:fldChar w:fldCharType="separate"/>
      </w:r>
      <w:r w:rsidR="002151F5" w:rsidRPr="002151F5">
        <w:rPr>
          <w:noProof/>
          <w:sz w:val="20"/>
          <w:szCs w:val="20"/>
        </w:rPr>
        <w:t>(Rizky, Hernawan and Budiastutik, 2015)</w:t>
      </w:r>
      <w:r w:rsidR="002151F5">
        <w:rPr>
          <w:sz w:val="20"/>
          <w:szCs w:val="20"/>
        </w:rPr>
        <w:fldChar w:fldCharType="end"/>
      </w:r>
      <w:bookmarkStart w:id="16" w:name="_Hlk56948914"/>
      <w:bookmarkEnd w:id="16"/>
      <w:r w:rsidR="002151F5">
        <w:rPr>
          <w:sz w:val="20"/>
          <w:szCs w:val="20"/>
        </w:rPr>
        <w:t>.</w:t>
      </w:r>
    </w:p>
    <w:p w14:paraId="6C320EFB" w14:textId="1883B535" w:rsidR="00D45EEB" w:rsidRPr="00D45EEB" w:rsidRDefault="00D45EEB" w:rsidP="00ED5751">
      <w:pPr>
        <w:ind w:firstLine="567"/>
        <w:contextualSpacing/>
        <w:jc w:val="both"/>
        <w:rPr>
          <w:sz w:val="20"/>
          <w:szCs w:val="20"/>
        </w:rPr>
      </w:pPr>
      <w:r w:rsidRPr="00D45EEB">
        <w:rPr>
          <w:sz w:val="20"/>
          <w:szCs w:val="20"/>
        </w:rPr>
        <w:t>This perception leads to a change in behavior that will be influenced by the person's beliefs about the perceived benefits of various measures available to reduce the threat of disease</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{"citationItems":[{"id":"ITEM-1","itemData":{"URL":"doi: http://hdl.handle.net/2027/spo.10381607.0007.102.","author":[{"dropping-particle":"","family":"Glanz, K., Rimer","given":"B. K. K. Viswanath","non-dropping-particle":"","parse-names":false,"suffix":""}],"id":"ITEM-1","issued":{"date-parts":[["2018"]]},"title":"Health and Health","type":"webpage"},"uris":["http://www.mendeley.com/documents/?uuid=9653d92c-f481-48c4-a432-df33f3efb0d9"]}],"mendeley":{"formattedCitation":"(Glanz, K., Rimer, 2018)","plainTextFormattedCitation":"(Glanz, K., Rimer, 2018)","previouslyFormattedCitation":"(Glanz, K., Rimer, 2018)"},"properties":{"noteIndex":0},"schema":"https://github.com/citation-style-language/schema/raw/master/csl-citation.json"}</w:instrText>
      </w:r>
      <w:r w:rsidR="00B814C9">
        <w:rPr>
          <w:sz w:val="20"/>
          <w:szCs w:val="20"/>
        </w:rPr>
        <w:fldChar w:fldCharType="separate"/>
      </w:r>
      <w:r w:rsidR="00B814C9" w:rsidRPr="00B814C9">
        <w:rPr>
          <w:noProof/>
          <w:sz w:val="20"/>
          <w:szCs w:val="20"/>
        </w:rPr>
        <w:t>(Glanz, K., Rimer, 2018)</w:t>
      </w:r>
      <w:r w:rsidR="00B814C9">
        <w:rPr>
          <w:sz w:val="20"/>
          <w:szCs w:val="20"/>
        </w:rPr>
        <w:fldChar w:fldCharType="end"/>
      </w:r>
      <w:r w:rsidR="00B814C9">
        <w:rPr>
          <w:sz w:val="20"/>
          <w:szCs w:val="20"/>
        </w:rPr>
        <w:t>.</w:t>
      </w:r>
    </w:p>
    <w:p w14:paraId="5775B4A9" w14:textId="3D30178A" w:rsidR="00D45EEB" w:rsidRPr="00D45EEB" w:rsidRDefault="00D45EEB" w:rsidP="00ED5751">
      <w:pPr>
        <w:ind w:firstLine="567"/>
        <w:contextualSpacing/>
        <w:jc w:val="both"/>
        <w:rPr>
          <w:sz w:val="20"/>
          <w:szCs w:val="20"/>
        </w:rPr>
      </w:pPr>
      <w:r w:rsidRPr="00D45EEB">
        <w:rPr>
          <w:sz w:val="20"/>
          <w:szCs w:val="20"/>
        </w:rPr>
        <w:t xml:space="preserve">Based on the results of the percentage of respondents that the respondents felt that they did not feel the benefit in taking BGM preventive measures was 64.2%. Respondents thought that the parenting style given to their children was </w:t>
      </w:r>
      <w:proofErr w:type="gramStart"/>
      <w:r w:rsidRPr="00D45EEB">
        <w:rPr>
          <w:sz w:val="20"/>
          <w:szCs w:val="20"/>
        </w:rPr>
        <w:t>good,</w:t>
      </w:r>
      <w:proofErr w:type="gramEnd"/>
      <w:r w:rsidRPr="00D45EEB">
        <w:rPr>
          <w:sz w:val="20"/>
          <w:szCs w:val="20"/>
        </w:rPr>
        <w:t xml:space="preserve"> the children were still normal and not sick without having to attend </w:t>
      </w:r>
      <w:proofErr w:type="spellStart"/>
      <w:r w:rsidRPr="00D45EEB">
        <w:rPr>
          <w:sz w:val="20"/>
          <w:szCs w:val="20"/>
        </w:rPr>
        <w:t>posyandu</w:t>
      </w:r>
      <w:proofErr w:type="spellEnd"/>
      <w:r w:rsidRPr="00D45EEB">
        <w:rPr>
          <w:sz w:val="20"/>
          <w:szCs w:val="20"/>
        </w:rPr>
        <w:t xml:space="preserve"> activities and giving PMT. So that it is found that the perceived benefits are not related to the preventive measures of BGM. The </w:t>
      </w:r>
      <w:proofErr w:type="gramStart"/>
      <w:r w:rsidRPr="00D45EEB">
        <w:rPr>
          <w:sz w:val="20"/>
          <w:szCs w:val="20"/>
        </w:rPr>
        <w:t>perception of the benefits of the recommended behavior outweigh</w:t>
      </w:r>
      <w:proofErr w:type="gramEnd"/>
      <w:r w:rsidRPr="00D45EEB">
        <w:rPr>
          <w:sz w:val="20"/>
          <w:szCs w:val="20"/>
        </w:rPr>
        <w:t xml:space="preserve"> all the barriers. The perceived benefits associated with one's perception of the efficacy of an action are suggested to reduce the risk, if there is no relationship then the mother does not have a good perception of the benefits of </w:t>
      </w:r>
      <w:r w:rsidR="00B97159">
        <w:rPr>
          <w:sz w:val="20"/>
          <w:szCs w:val="20"/>
        </w:rPr>
        <w:t xml:space="preserve">taking BGM preventive measures </w:t>
      </w:r>
      <w:r w:rsidR="00B97159">
        <w:rPr>
          <w:sz w:val="20"/>
          <w:szCs w:val="20"/>
        </w:rPr>
        <w:fldChar w:fldCharType="begin" w:fldLock="1"/>
      </w:r>
      <w:r w:rsidR="00B97159">
        <w:rPr>
          <w:sz w:val="20"/>
          <w:szCs w:val="20"/>
        </w:rPr>
        <w:instrText>ADDIN CSL_CITATION {"citationItems":[{"id":"ITEM-1","itemData":{"author":[{"dropping-particle":"","family":"Hayati, M., Sudiana, I.","given":"Kristiawati","non-dropping-particle":"","parse-names":false,"suffix":""}],"container-title":"Pediomaternal Nursing Journal","id":"ITEM-1","issued":{"date-parts":[["2014"]]},"page":"69-73","title":"Analisis Faktor Orang Tua yang Berhubungan dengan Status Gizi Balita Pendekatan Teori Health Belief Model","type":"article-journal","volume":"Vol 2, No"},"uris":["http://www.mendeley.com/documents/?uuid=b6442678-06ac-4992-af58-ff13c68d886b"]}],"mendeley":{"formattedCitation":"(Hayati, M., Sudiana, I., 2014)","plainTextFormattedCitation":"(Hayati, M., Sudiana, I., 2014)","previouslyFormattedCitation":"(Hayati, M., Sudiana, I., 2014)"},"properties":{"noteIndex":0},"schema":"https://github.com/citation-style-language/schema/raw/master/csl-citation.json"}</w:instrText>
      </w:r>
      <w:r w:rsidR="00B97159">
        <w:rPr>
          <w:sz w:val="20"/>
          <w:szCs w:val="20"/>
        </w:rPr>
        <w:fldChar w:fldCharType="separate"/>
      </w:r>
      <w:r w:rsidR="00B97159" w:rsidRPr="00B97159">
        <w:rPr>
          <w:noProof/>
          <w:sz w:val="20"/>
          <w:szCs w:val="20"/>
        </w:rPr>
        <w:t>(Hayati, M., Sudiana, I., 2014)</w:t>
      </w:r>
      <w:r w:rsidR="00B97159">
        <w:rPr>
          <w:sz w:val="20"/>
          <w:szCs w:val="20"/>
        </w:rPr>
        <w:fldChar w:fldCharType="end"/>
      </w:r>
      <w:r w:rsidR="00B97159">
        <w:rPr>
          <w:sz w:val="20"/>
          <w:szCs w:val="20"/>
        </w:rPr>
        <w:t>.</w:t>
      </w:r>
    </w:p>
    <w:p w14:paraId="59A08C70" w14:textId="2F92E0B4" w:rsidR="00D45EEB" w:rsidRPr="00D45EEB" w:rsidRDefault="00D45EEB" w:rsidP="00ED5751">
      <w:pPr>
        <w:ind w:firstLine="567"/>
        <w:contextualSpacing/>
        <w:jc w:val="both"/>
        <w:rPr>
          <w:sz w:val="20"/>
          <w:szCs w:val="20"/>
        </w:rPr>
      </w:pPr>
      <w:r w:rsidRPr="00D45EEB">
        <w:rPr>
          <w:sz w:val="20"/>
          <w:szCs w:val="20"/>
        </w:rPr>
        <w:t xml:space="preserve">The importance of regularly monitoring the growth of toddlers at the </w:t>
      </w:r>
      <w:proofErr w:type="spellStart"/>
      <w:r w:rsidRPr="00D45EEB">
        <w:rPr>
          <w:sz w:val="20"/>
          <w:szCs w:val="20"/>
        </w:rPr>
        <w:t>posyandu</w:t>
      </w:r>
      <w:proofErr w:type="spellEnd"/>
      <w:r w:rsidRPr="00D45EEB">
        <w:rPr>
          <w:sz w:val="20"/>
          <w:szCs w:val="20"/>
        </w:rPr>
        <w:t xml:space="preserve"> and giving PMT can prevent BGM toddlers, because the Supplementary Food (PMT) given to malnourished toddlers aims to provide high intake, high protein and sufficient vitamins and minerals gradually, in order to achieve optimal nutritional status. and balanced nutrition, an increase in energy and protein intake showed that there were significant differences in the two groups after the intervention was carried out and there was a significant effect on changes in body weight after being given PMT</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{"citationItems":[{"id":"ITEM-1","itemData":{"DOI":"10.30867/action.v2i2.65","ISSN":"2527-3310","abstract":"Penanggulangan balita gizi kurang dilakukan dengan Pemberian Makanan Tambahan (PMT). Untuk balita gizi buruk harus mendapatkan perawatan susuai Tatalaksana Balita Gizi Buruk. PMT diberikan selain formula WHO, juga bisa formula modifikasi berupa formula yang padat energi dan protein dan dari bahan yang mudah diperoleh di masyarakat dengan harga terjangkau. Penelitian ini bertujuan mengidentifikasi pengaruh PMT formula Modifikasi terhadap Status Gizi balita. Desain penelitain quasi eksperimen, one group pre and posttest design. subjek sebanyak 29 balita gizi kurang, PMT modifikasi diberikan selama 4 minggu, uji statistiknya Repeated Measured Anova. Hasil diperoleh bahwa balita yang sebelumnya balita yang mengalami gizi buruk sebanyak 7 orang setelah diberikan makanan tambahan menjadi 3 orang, gizi kurang dari 22 orang menjadi 20 orang dan balita yang sebelumnya tidak berstatus gizi baik setelah diberikan makanan tambahan menjadi 6 orang dengan status gizi baik. Kesimpulan, pemberian makananan tambahan dalam bentuk modifikasi sangat signfikan terhadap peningkatan status gizi balita yang lebih baikKata kunci: Balita, makanan tambahan, status gizi","author":[{"dropping-particle":"","family":"Iskandar","given":"Iskandar","non-dropping-particle":"","parse-names":false,"suffix":""}],"container-title":"AcTion: Aceh Nutrition Journal","id":"ITEM-1","issue":"2","issued":{"date-parts":[["2017"]]},"page":"120","title":"Pengaruh Pemberian Makanan Tambahan Modifikasi Terhadap Status Gizi Balita","type":"article-journal","volume":"2"},"uris":["http://www.mendeley.com/documents/?uuid=20ff2072-4016-457a-b391-3e16b33d9baf"]}],"mendeley":{"formattedCitation":"(Iskandar, 2017)","plainTextFormattedCitation":"(Iskandar, 2017)","previouslyFormattedCitation":"(Iskandar, 2017)"},"properties":{"noteIndex":0},"schema":"https://github.com/citation-style-language/schema/raw/master/csl-citation.json"}</w:instrText>
      </w:r>
      <w:r w:rsidR="00B814C9">
        <w:rPr>
          <w:sz w:val="20"/>
          <w:szCs w:val="20"/>
        </w:rPr>
        <w:fldChar w:fldCharType="separate"/>
      </w:r>
      <w:r w:rsidR="00B814C9" w:rsidRPr="00B814C9">
        <w:rPr>
          <w:noProof/>
          <w:sz w:val="20"/>
          <w:szCs w:val="20"/>
        </w:rPr>
        <w:t>(Iskandar, 2017)</w:t>
      </w:r>
      <w:r w:rsidR="00B814C9">
        <w:rPr>
          <w:sz w:val="20"/>
          <w:szCs w:val="20"/>
        </w:rPr>
        <w:fldChar w:fldCharType="end"/>
      </w:r>
      <w:r w:rsidR="00B814C9">
        <w:rPr>
          <w:sz w:val="20"/>
          <w:szCs w:val="20"/>
        </w:rPr>
        <w:t xml:space="preserve">. </w:t>
      </w:r>
      <w:r w:rsidRPr="00D45EEB">
        <w:rPr>
          <w:sz w:val="20"/>
          <w:szCs w:val="20"/>
        </w:rPr>
        <w:t>Lack of Protein Energy (KEP) in children aged 12-24 months is due to an imbalance between the needs and the nutritional intake received</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{"citationItems":[{"id":"ITEM-1","itemData":{"DOI":"10.20473/amnt.v3i4.2019.284-290","ISSN":"2580-1163","abstract":"Background: The government prevent Protein Energy Malnutrition (PEM) by implemented a feeding program of companion breast milk (MP-ASI) in the form of biscuits. After the evaluation, MP-ASI biscuit from Department of Health has a low acceptability, because it has a bitter taste and experience the saturation point of boredom. Therefore, researchers innovate to improve acceptance by modifying biscuits into pie shapes fla that have a preferred flavor and more appealing to children.Objective: to assess the best pie formula substituted with MP-ASI biscuit and soya isolate protein; to analyze the differences acceptability in control formula (F0), the best formula (F2), and MP-ASI biscuit; comparing the macro nutrient contained and the recommended portion of the best pie formula and MP-ASI biscuit.Method: This research design was Experimental with Completely Randomized Design (CRD). There were 1 control formula and 3 modification formula (F1, F2, F3). Each formula contained wheat flour, MP-ASI biscuit and soy protein isolate: F0 (100%, 0%, 0%); F1 (85%, 10%, 15%); F2 (60%, 20%, 20%); F3 (45%, 30%, 25%). Selection of the best formula through weighing score from the calculation nutrition contained based on DKBM and hedonic test result by 3 expert panelists. The control formula, the best formula and MP-ASI biscuit were hedonic tested on 25 panelists of children aged 12-24 month and their mothers. The difference in acceptability was known through the Friedman test and Wilcoxon Sign Rank.Results: The best pie formula modification was F2. The results of the acceptability test of F0, F2 and MP-ASI biscuits get the mean rank value of preference levels (2.1), (2.5) and (1.6). The nutrient contained of energy, protein, carbohydrates and fat per 100 g F2 was lower than the MP-ASI biscuit. The recommended portion of F2 consumption and MP-ASI biscuits per day was 4 pieces and 12 pieces.Conclusion: The best pie formula was F2. The acceptability of F2 was higher than MP-ASI biscuit. Although the macro nutrient contained in F2 pie per 100 g was still lower than MP-ASI biscuit, the recommended amount of F2 serving was less than MP-ASI biscuitABSTRAKLatar Belakang: Kekurangan Energi Protein (KEP) pada anak usia 12-24 bulan disebabkan adanya  ketidakseimbangan antara kebutuhan dengan asupan gizi yang diterima, maka pemerintah melaksanakan program pemberian Makanan Pendamping Air Susu Ibu (MP-ASI) berupa biskuit4. Setelah dilakukan evaluasi, biskuit MP-ASI Kemenkes RI memiliki da…","author":[{"dropping-particle":"","family":"Ahmad","given":"Mufidah","non-dropping-particle":"","parse-names":false,"suffix":""},{"dropping-particle":"","family":"Rifqi","given":"Mahmud Aditya","non-dropping-particle":"","parse-names":false,"suffix":""}],"container-title":"Amerta Nutrition","id":"ITEM-1","issue":"4","issued":{"date-parts":[["2019"]]},"page":"284","title":"Pie Substitusi Tepung Biskuit MP-ASI Kemenkes dan Isolat Protein Kedelai Sebagai Alternatif Pencegahan KEP Pada Anak Usia 12-24 Bulan","type":"article-journal","volume":"3"},"uris":["http://www.mendeley.com/documents/?uuid=3e23ea0a-6b76-43fc-bb56-4e96eac7726c"]}],"mendeley":{"formattedCitation":"(Ahmad and Rifqi, 2019)","plainTextFormattedCitation":"(Ahmad and Rifqi, 2019)","previouslyFormattedCitation":"(Ahmad and Rifqi, 2019)"},"properties":{"noteIndex":0},"schema":"https://github.com/citation-style-language/schema/raw/master/csl-citation.json"}</w:instrText>
      </w:r>
      <w:r w:rsidR="00B814C9">
        <w:rPr>
          <w:sz w:val="20"/>
          <w:szCs w:val="20"/>
        </w:rPr>
        <w:fldChar w:fldCharType="separate"/>
      </w:r>
      <w:r w:rsidR="00B814C9" w:rsidRPr="00B814C9">
        <w:rPr>
          <w:noProof/>
          <w:sz w:val="20"/>
          <w:szCs w:val="20"/>
        </w:rPr>
        <w:t>(Ahmad and Rifqi, 2019)</w:t>
      </w:r>
      <w:r w:rsidR="00B814C9">
        <w:rPr>
          <w:sz w:val="20"/>
          <w:szCs w:val="20"/>
        </w:rPr>
        <w:fldChar w:fldCharType="end"/>
      </w:r>
      <w:bookmarkStart w:id="17" w:name="_Hlk56948935"/>
      <w:bookmarkStart w:id="18" w:name="_Hlk56948944"/>
      <w:bookmarkEnd w:id="17"/>
      <w:bookmarkEnd w:id="18"/>
      <w:r w:rsidR="00B814C9">
        <w:rPr>
          <w:sz w:val="20"/>
          <w:szCs w:val="20"/>
        </w:rPr>
        <w:t>.</w:t>
      </w:r>
    </w:p>
    <w:p w14:paraId="7F3884BE" w14:textId="4D1DAA55" w:rsidR="00D45EEB" w:rsidRPr="00D45EEB" w:rsidRDefault="00D45EEB" w:rsidP="00ED5751">
      <w:pPr>
        <w:ind w:firstLine="567"/>
        <w:contextualSpacing/>
        <w:jc w:val="both"/>
        <w:rPr>
          <w:sz w:val="20"/>
          <w:szCs w:val="20"/>
        </w:rPr>
      </w:pPr>
      <w:r w:rsidRPr="00D45EEB">
        <w:rPr>
          <w:sz w:val="20"/>
          <w:szCs w:val="20"/>
        </w:rPr>
        <w:t>The potential negative aspects of certain health measures perceived barriers can act as barriers to carrying out the recommended behavior. A kind of unconscious, cost-benefit analysis occurs where individuals weigh the benefits of the expected actions against the perceived barriers</w:t>
      </w:r>
      <w:r w:rsidR="00B97159">
        <w:rPr>
          <w:sz w:val="20"/>
          <w:szCs w:val="20"/>
        </w:rPr>
        <w:t xml:space="preserve"> </w:t>
      </w:r>
      <w:r w:rsidR="00B97159">
        <w:rPr>
          <w:sz w:val="20"/>
          <w:szCs w:val="20"/>
        </w:rPr>
        <w:fldChar w:fldCharType="begin" w:fldLock="1"/>
      </w:r>
      <w:r w:rsidR="00B97159">
        <w:rPr>
          <w:sz w:val="20"/>
          <w:szCs w:val="20"/>
        </w:rPr>
        <w:instrText>ADDIN CSL_CITATION {"citationItems":[{"id":"ITEM-1","itemData":{"URL":"doi: http://hdl.handle.net/2027/spo.10381607.0007.102.","author":[{"dropping-particle":"","family":"Glanz, K., Rimer","given":"B. K. K. Viswanath","non-dropping-particle":"","parse-names":false,"suffix":""}],"id":"ITEM-1","issued":{"date-parts":[["2018"]]},"title":"Health and Health","type":"webpage"},"uris":["http://www.mendeley.com/documents/?uuid=9653d92c-f481-48c4-a432-df33f3efb0d9"]}],"mendeley":{"formattedCitation":"(Glanz, K., Rimer, 2018)","plainTextFormattedCitation":"(Glanz, K., Rimer, 2018)","previouslyFormattedCitation":"(Glanz, K., Rimer, 2018)"},"properties":{"noteIndex":0},"schema":"https://github.com/citation-style-language/schema/raw/master/csl-citation.json"}</w:instrText>
      </w:r>
      <w:r w:rsidR="00B97159">
        <w:rPr>
          <w:sz w:val="20"/>
          <w:szCs w:val="20"/>
        </w:rPr>
        <w:fldChar w:fldCharType="separate"/>
      </w:r>
      <w:r w:rsidR="00B97159" w:rsidRPr="00B97159">
        <w:rPr>
          <w:noProof/>
          <w:sz w:val="20"/>
          <w:szCs w:val="20"/>
        </w:rPr>
        <w:t>(Glanz, K., Rimer, 2018)</w:t>
      </w:r>
      <w:r w:rsidR="00B97159">
        <w:rPr>
          <w:sz w:val="20"/>
          <w:szCs w:val="20"/>
        </w:rPr>
        <w:fldChar w:fldCharType="end"/>
      </w:r>
      <w:r w:rsidR="00B97159">
        <w:rPr>
          <w:sz w:val="20"/>
          <w:szCs w:val="20"/>
        </w:rPr>
        <w:t>.</w:t>
      </w:r>
      <w:r w:rsidRPr="00D45EEB">
        <w:rPr>
          <w:sz w:val="20"/>
          <w:szCs w:val="20"/>
        </w:rPr>
        <w:t xml:space="preserve"> Based on the results of this study, it shows that 69.8% of respondents felt obstacles in taking BGM preventive action but still took good action. However, the results of the multiple logistic regression </w:t>
      </w:r>
      <w:proofErr w:type="gramStart"/>
      <w:r w:rsidRPr="00D45EEB">
        <w:rPr>
          <w:sz w:val="20"/>
          <w:szCs w:val="20"/>
        </w:rPr>
        <w:t>test</w:t>
      </w:r>
      <w:proofErr w:type="gramEnd"/>
      <w:r w:rsidRPr="00D45EEB">
        <w:rPr>
          <w:sz w:val="20"/>
          <w:szCs w:val="20"/>
        </w:rPr>
        <w:t xml:space="preserve"> showed no relationship with perceived barriers to BGM prevention. This is not in line with the research of </w:t>
      </w:r>
      <w:r w:rsidR="006854C2" w:rsidRPr="00D45EEB">
        <w:rPr>
          <w:sz w:val="20"/>
          <w:szCs w:val="20"/>
        </w:rPr>
        <w:fldChar w:fldCharType="begin" w:fldLock="1"/>
      </w:r>
      <w:r w:rsidR="006854C2">
        <w:rPr>
          <w:sz w:val="20"/>
          <w:szCs w:val="20"/>
        </w:rPr>
        <w:instrText>ADDIN CSL_CITATION {"citationItems":[{"id":"ITEM-1","itemData":{"DOI":"10.14238/sp19.2.2017.86-90","ISSN":"0854-7823","abstract":"Latar belakang. Imunisasi merupakan salah satu upaya perlindungan kesehatan yang paling efektif untuk anak-anak terhadap beberapa penyakit yang dapat dicegah dengan imunisasi (PD3I). Keberhasilan pelaksanaan program imunisasi di Indonesia dipengaruhi oleh beberapa faktor, antara lain, usia ibu, tingkat pendidikan ibu, status pekerjaan ibu, tingkat pengetahuan ibu dan urutan kelahiran anak. Tujuan. Mengetahui cakupan imunisasi dasar lengkap pada anak dan menilai faktor-faktor yang memengaruhinya.Metode. Penelitian ini deskriptif analitik dengan desain cross sectional yang dilakukan di Divisi Tumbuh Kembang dan Pediatri Sosial, Departemen Ilmu Kesehatan Anak RSUP H. Adam Malik Medan, mulai bulan Oktober 2015 sampai April 2016. Data diambil dari rekam medis pasien rawat jalan dan rawat inap. Data diolah dengan statistik deskriptif dan disajikan dalam bentuk distribusi frekuensi dan faktor yang memengaruhi kelengkapan imunisasi dasar dianalisis dengan menggunakan uji regresi logistik.Hasil. Di antara 113 sampel penelitian didapatkan 46 orang (40,7%) memiliki status imunisasi dasar lengkap. Faktor yang memengaruhi kelengkapan imunisasi dasar adalah pemberian ASI eksklusif (p=0,017). Jenis kelamin, status nutrisi, cara lahir, berat badan lahir, pendidikan ibu, pekerjaan ibu, urutan kelahiran, jumlah anak dan usia ibu tidak memengaruhi kelengkapan imunisasi dasar anak.Kesimpulan. Cakupan imunisasi dasar lengkap pada anak 40,7% dan faktor yang memengaruhi kelengkapan imunisasi dasar adalah pemberian ASI eksklusif.","author":[{"dropping-particle":"","family":"Tanjung","given":"Ika Citra Dewi","non-dropping-particle":"","parse-names":false,"suffix":""},{"dropping-particle":"","family":"Rohmawati","given":"Lili","non-dropping-particle":"","parse-names":false,"suffix":""},{"dropping-particle":"","family":"Sofyani","given":"Sri","non-dropping-particle":"","parse-names":false,"suffix":""}],"container-title":"Sari Pediatri","id":"ITEM-1","issue":"2","issued":{"date-parts":[["2017"]]},"page":"86","title":"Cakupan Imunisasi Dasar Lengkap dan Faktor yang Memengaruhi","type":"article-journal","volume":"19"},"uris":["http://www.mendeley.com/documents/?uuid=f5a7e922-d4bb-4d63-ab8e-9b0796a9e825"]}],"mendeley":{"formattedCitation":"(Tanjung, Rohmawati and Sofyani, 2017)","manualFormatting":"Tanjung, Rohmawati and Sofyani, (2017)","plainTextFormattedCitation":"(Tanjung, Rohmawati and Sofyani, 2017)","previouslyFormattedCitation":"(Tanjung, Rohmawati and Sofyani, 2017)"},"properties":{"noteIndex":0},"schema":"https://github.com/citation-style-language/schema/raw/master/csl-citation.json"}</w:instrText>
      </w:r>
      <w:r w:rsidR="006854C2" w:rsidRPr="00D45EEB">
        <w:rPr>
          <w:sz w:val="20"/>
          <w:szCs w:val="20"/>
        </w:rPr>
        <w:fldChar w:fldCharType="separate"/>
      </w:r>
      <w:r w:rsidR="006854C2" w:rsidRPr="00A740E9">
        <w:rPr>
          <w:noProof/>
          <w:sz w:val="20"/>
          <w:szCs w:val="20"/>
        </w:rPr>
        <w:t xml:space="preserve">Tanjung, Rohmawati and Sofyani, </w:t>
      </w:r>
      <w:r w:rsidR="006854C2">
        <w:rPr>
          <w:noProof/>
          <w:sz w:val="20"/>
          <w:szCs w:val="20"/>
        </w:rPr>
        <w:t>(</w:t>
      </w:r>
      <w:r w:rsidR="006854C2" w:rsidRPr="00A740E9">
        <w:rPr>
          <w:noProof/>
          <w:sz w:val="20"/>
          <w:szCs w:val="20"/>
        </w:rPr>
        <w:t>2017)</w:t>
      </w:r>
      <w:r w:rsidR="006854C2" w:rsidRPr="00D45EEB">
        <w:rPr>
          <w:sz w:val="20"/>
          <w:szCs w:val="20"/>
        </w:rPr>
        <w:fldChar w:fldCharType="end"/>
      </w:r>
      <w:r w:rsidRPr="00D45EEB">
        <w:rPr>
          <w:sz w:val="20"/>
          <w:szCs w:val="20"/>
        </w:rPr>
        <w:t xml:space="preserve"> which shows that 56.9% of respondents perceive a perceived barrier in taking action to prevent malnutrition in children under five. When they perceive obstacles, respondents with strong motivation will take various ways to overcome these obstacles.</w:t>
      </w:r>
    </w:p>
    <w:p w14:paraId="364967FB" w14:textId="77777777" w:rsidR="00D45EEB" w:rsidRPr="00D45EEB" w:rsidRDefault="00D45EEB" w:rsidP="00ED5751">
      <w:pPr>
        <w:ind w:firstLine="567"/>
        <w:contextualSpacing/>
        <w:jc w:val="both"/>
        <w:rPr>
          <w:sz w:val="20"/>
          <w:szCs w:val="20"/>
        </w:rPr>
      </w:pPr>
      <w:r w:rsidRPr="00D45EEB">
        <w:rPr>
          <w:sz w:val="20"/>
          <w:szCs w:val="20"/>
        </w:rPr>
        <w:t xml:space="preserve">Based on the results of cross tabulation, it shows that there is no relationship of perceived encouragement to BGM prevention. Respondents argued that the lack of information on nutritional status and </w:t>
      </w:r>
      <w:proofErr w:type="spellStart"/>
      <w:r w:rsidRPr="00D45EEB">
        <w:rPr>
          <w:sz w:val="20"/>
          <w:szCs w:val="20"/>
        </w:rPr>
        <w:t>posyandu</w:t>
      </w:r>
      <w:proofErr w:type="spellEnd"/>
      <w:r w:rsidRPr="00D45EEB">
        <w:rPr>
          <w:sz w:val="20"/>
          <w:szCs w:val="20"/>
        </w:rPr>
        <w:t xml:space="preserve"> activities related to the provision of good food intake according to the age of the toddler, so that respondents did not regularly participate in </w:t>
      </w:r>
      <w:proofErr w:type="spellStart"/>
      <w:r w:rsidRPr="00D45EEB">
        <w:rPr>
          <w:sz w:val="20"/>
          <w:szCs w:val="20"/>
        </w:rPr>
        <w:t>posyandu</w:t>
      </w:r>
      <w:proofErr w:type="spellEnd"/>
      <w:r w:rsidRPr="00D45EEB">
        <w:rPr>
          <w:sz w:val="20"/>
          <w:szCs w:val="20"/>
        </w:rPr>
        <w:t xml:space="preserve"> activities. </w:t>
      </w:r>
    </w:p>
    <w:p w14:paraId="3926E4DF" w14:textId="117639BE" w:rsidR="00D45EEB" w:rsidRPr="00D45EEB" w:rsidRDefault="00D45EEB" w:rsidP="00ED5751">
      <w:pPr>
        <w:ind w:firstLine="567"/>
        <w:contextualSpacing/>
        <w:jc w:val="both"/>
        <w:rPr>
          <w:sz w:val="20"/>
          <w:szCs w:val="20"/>
        </w:rPr>
      </w:pPr>
      <w:r w:rsidRPr="00D45EEB">
        <w:rPr>
          <w:sz w:val="20"/>
          <w:szCs w:val="20"/>
        </w:rPr>
        <w:t xml:space="preserve">The importance of mothers visiting </w:t>
      </w:r>
      <w:proofErr w:type="spellStart"/>
      <w:r w:rsidRPr="00D45EEB">
        <w:rPr>
          <w:sz w:val="20"/>
          <w:szCs w:val="20"/>
        </w:rPr>
        <w:t>posyandu</w:t>
      </w:r>
      <w:proofErr w:type="spellEnd"/>
      <w:r w:rsidRPr="00D45EEB">
        <w:rPr>
          <w:sz w:val="20"/>
          <w:szCs w:val="20"/>
        </w:rPr>
        <w:t xml:space="preserve"> is in accordance with the results of </w:t>
      </w:r>
      <w:proofErr w:type="spellStart"/>
      <w:r w:rsidRPr="007B1B30">
        <w:rPr>
          <w:sz w:val="20"/>
          <w:szCs w:val="20"/>
        </w:rPr>
        <w:t>Fitriani's</w:t>
      </w:r>
      <w:proofErr w:type="spellEnd"/>
      <w:r w:rsidRPr="007B1B30">
        <w:rPr>
          <w:sz w:val="20"/>
          <w:szCs w:val="20"/>
        </w:rPr>
        <w:t xml:space="preserve"> research (2018) that a mother's visit to the </w:t>
      </w:r>
      <w:proofErr w:type="spellStart"/>
      <w:r w:rsidRPr="007B1B30">
        <w:rPr>
          <w:sz w:val="20"/>
          <w:szCs w:val="20"/>
        </w:rPr>
        <w:t>posyandu</w:t>
      </w:r>
      <w:proofErr w:type="spellEnd"/>
      <w:r w:rsidRPr="007B1B30">
        <w:rPr>
          <w:sz w:val="20"/>
          <w:szCs w:val="20"/>
        </w:rPr>
        <w:t xml:space="preserve"> to find out the development of toddlers will provide</w:t>
      </w:r>
      <w:r w:rsidRPr="00D45EEB">
        <w:rPr>
          <w:sz w:val="20"/>
          <w:szCs w:val="20"/>
        </w:rPr>
        <w:t xml:space="preserve"> the possibility for BGM not to occur in toddlers and mothers who are active in </w:t>
      </w:r>
      <w:proofErr w:type="spellStart"/>
      <w:r w:rsidRPr="00D45EEB">
        <w:rPr>
          <w:sz w:val="20"/>
          <w:szCs w:val="20"/>
        </w:rPr>
        <w:t>posyandu</w:t>
      </w:r>
      <w:proofErr w:type="spellEnd"/>
      <w:r w:rsidRPr="00D45EEB">
        <w:rPr>
          <w:sz w:val="20"/>
          <w:szCs w:val="20"/>
        </w:rPr>
        <w:t xml:space="preserve"> can prevent an increase in the number </w:t>
      </w:r>
      <w:r w:rsidRPr="00D45EEB">
        <w:rPr>
          <w:sz w:val="20"/>
          <w:szCs w:val="20"/>
        </w:rPr>
        <w:lastRenderedPageBreak/>
        <w:t xml:space="preserve">of children under five BGM through early detection efforts the nutritional status of toddlers every month by health workers and </w:t>
      </w:r>
      <w:proofErr w:type="spellStart"/>
      <w:r w:rsidRPr="00D45EEB">
        <w:rPr>
          <w:sz w:val="20"/>
          <w:szCs w:val="20"/>
        </w:rPr>
        <w:t>posyandu</w:t>
      </w:r>
      <w:proofErr w:type="spellEnd"/>
      <w:r w:rsidRPr="00D45EEB">
        <w:rPr>
          <w:sz w:val="20"/>
          <w:szCs w:val="20"/>
        </w:rPr>
        <w:t xml:space="preserve"> cadres in monitoring the nutritional status of children through the KMS book for toddlers</w:t>
      </w:r>
      <w:r w:rsidR="006854C2">
        <w:rPr>
          <w:sz w:val="20"/>
          <w:szCs w:val="20"/>
        </w:rPr>
        <w:t xml:space="preserve"> </w:t>
      </w:r>
      <w:r w:rsidR="006854C2">
        <w:rPr>
          <w:sz w:val="20"/>
          <w:szCs w:val="20"/>
        </w:rPr>
        <w:fldChar w:fldCharType="begin" w:fldLock="1"/>
      </w:r>
      <w:r w:rsidR="002A67A1">
        <w:rPr>
          <w:sz w:val="20"/>
          <w:szCs w:val="20"/>
        </w:rPr>
        <w:instrText>ADDIN CSL_CITATION {"citationItems":[{"id":"ITEM-1","itemData":{"DOI":"10.36088/palapa.v6i1.59","ISSN":"2338-2325","abstract":"Below the Red Line (BGM) toddler is a toddler whose weight is equal or below the red on a Card Towards the Healthy (KMS). Mothers who actively visit posyandu each month, then the developmental and nutritional status can be monitored by health workers through KMS that can reduce the incidence of cases of toddlers BGM. The purpose of this study was to determine the correlation between mother’s activeness in integrated health service with number reduction of toddler below the red line (BGM) in Tente village, Woha district, Bima regency. This research was a survey analytical, data was retrieved with crosssectional, the subjects of this study were two hundred and eighteen infants aged one to fifty-nine months. Data analyzed using chi-square test. Based on the research that has been done shows that mothers who actively visit posyandu but with BGM nutritional status of children was 34,5% while the mother is not active visit posyandu but the BGM nutritional status of children was 94,1% Based on the analysis of the research data using the chi-square test, showed that the p value = 0,000 with the significance level (alpha) of 0.05. Thus the p value is less than significant level (p less than alpha), so Ho is rejected which means that there is a correlation of mother's activeness with a reduction in the number of BGM toddler in the village Tente, Woha districk, Bima regency. Suggestions of this study are mothers are expected to be able to make the best use posyandu facilities monthly, because in addition to easy and cheap to get no-cost primary health care for their children, mother can also monitor the baby's growth and development regularly each month via KMS toddler book, so when there are problems about the baby's growth and development can be immediately addressed and assisted by health workers quickly and precisely.","author":[{"dropping-particle":"","family":"Fitriani","given":"Nurlaila","non-dropping-particle":"","parse-names":false,"suffix":""}],"container-title":"Palapa: Jurnal Studi Keislaman dan Ilmu Pendidikan","id":"ITEM-1","issue":"1","issued":{"date-parts":[["2018"]]},"page":"69-80","title":"Hubungan Kunjungan Ibu ke Posyandu dengan Jumlah Balita Bawah Garis Merah (BGM) di Desa Tente Kecamatan Woha Kabupaten Bima","type":"article-journal","volume":"6"},"uris":["http://www.mendeley.com/documents/?uuid=3fc6040c-0c6d-4b73-87d6-a939ef6ad7b1"]}],"mendeley":{"formattedCitation":"(Fitriani, 2018b)","manualFormatting":"(Fitriani, 2018)","plainTextFormattedCitation":"(Fitriani, 2018b)","previouslyFormattedCitation":"(Fitriani, 2018b)"},"properties":{"noteIndex":0},"schema":"https://github.com/citation-style-language/schema/raw/master/csl-citation.json"}</w:instrText>
      </w:r>
      <w:r w:rsidR="006854C2">
        <w:rPr>
          <w:sz w:val="20"/>
          <w:szCs w:val="20"/>
        </w:rPr>
        <w:fldChar w:fldCharType="separate"/>
      </w:r>
      <w:r w:rsidR="006854C2">
        <w:rPr>
          <w:noProof/>
          <w:sz w:val="20"/>
          <w:szCs w:val="20"/>
        </w:rPr>
        <w:t>(Fitriani, 2018</w:t>
      </w:r>
      <w:r w:rsidR="006854C2" w:rsidRPr="006854C2">
        <w:rPr>
          <w:noProof/>
          <w:sz w:val="20"/>
          <w:szCs w:val="20"/>
        </w:rPr>
        <w:t>)</w:t>
      </w:r>
      <w:r w:rsidR="006854C2">
        <w:rPr>
          <w:sz w:val="20"/>
          <w:szCs w:val="20"/>
        </w:rPr>
        <w:fldChar w:fldCharType="end"/>
      </w:r>
      <w:r w:rsidRPr="00D45EEB">
        <w:rPr>
          <w:sz w:val="20"/>
          <w:szCs w:val="20"/>
        </w:rPr>
        <w:t xml:space="preserve">. </w:t>
      </w:r>
    </w:p>
    <w:p w14:paraId="24270CF0" w14:textId="043A0B39" w:rsidR="00D45EEB" w:rsidRPr="00D45EEB" w:rsidRDefault="00D45EEB" w:rsidP="00ED5751">
      <w:pPr>
        <w:ind w:firstLine="567"/>
        <w:contextualSpacing/>
        <w:jc w:val="both"/>
        <w:rPr>
          <w:sz w:val="20"/>
          <w:szCs w:val="20"/>
        </w:rPr>
      </w:pPr>
      <w:r w:rsidRPr="00D45EEB">
        <w:rPr>
          <w:sz w:val="20"/>
          <w:szCs w:val="20"/>
        </w:rPr>
        <w:t>Besides that,</w:t>
      </w:r>
      <w:bookmarkStart w:id="19" w:name="_Hlk56949004"/>
      <w:bookmarkEnd w:id="19"/>
      <w:r w:rsidRPr="00D45EEB">
        <w:rPr>
          <w:sz w:val="20"/>
          <w:szCs w:val="20"/>
        </w:rPr>
        <w:t xml:space="preserve"> the poor nutritional status will affect toddlers in the future. Therefore, malnutrition is a matter of concern because it does not only have short-term effects such as the baby's vulnerability to infectious diseases, low survival ability, low IQ so that it affects intelligence, low cognitive abilities and also impacts death if in the long term</w:t>
      </w:r>
      <w:r w:rsidR="00B814C9">
        <w:rPr>
          <w:sz w:val="20"/>
          <w:szCs w:val="20"/>
        </w:rPr>
        <w:t xml:space="preserve"> </w:t>
      </w:r>
      <w:r w:rsidR="00B814C9">
        <w:rPr>
          <w:sz w:val="20"/>
          <w:szCs w:val="20"/>
        </w:rPr>
        <w:fldChar w:fldCharType="begin" w:fldLock="1"/>
      </w:r>
      <w:r w:rsidR="00B814C9">
        <w:rPr>
          <w:sz w:val="20"/>
          <w:szCs w:val="20"/>
        </w:rPr>
        <w:instrText>ADDIN CSL_CITATION {"citationItems":[{"id":"ITEM-1","itemData":{"DOI":"10.20473/mgi.v11i1.55-60","ISSN":"1693-7228","abstract":"There are many malnutrition problems in children under fi ve, especially in developing countries including Indonesia. One of factor affecting nutritional status is maternal nutrition knowledge that will imply in caring and feeding practice. Underweight is also affected by social economy factors such as family income, food expenditure, mother’s education and occupation. Therefore, the aim of this research was to analyze differences of social economy characteristic and maternal nutrition knowledge between under-fi ve children with underweight and normal nutritional status. Thisresearch was analytical-observational study with cross sectional design. Sample of this research was children aged 24–60 months that living in the working area of Sidotopo Public Health Centre. The number of sample was 19 children in each sub-population based on nutritional status. Data was collected through primary data collecting with direct interview and questionnaire. The result showed signifi cant difference of maternal nutrition knowledge between children with underweight and normal nutritional status (p = 0.004). There is no difference in social economy characteristic such as mother’s education (p = 0.189), mother’s occupation (p = 0.387), and family income (p = 0.189), and food expenditure (p = 0.515). Therefore, improving maternal nutrition knowledge and skills in local community or public health centre is necessary.Keywords: under-fi ve children, nutrition knowledge, nutritional status","author":[{"dropping-particle":"","family":"Rahma","given":"Amelinda Calida","non-dropping-particle":"","parse-names":false,"suffix":""},{"dropping-particle":"","family":"Nadhiroh","given":"Siti Rahayu","non-dropping-particle":"","parse-names":false,"suffix":""}],"container-title":"Media Gizi Indonesia","id":"ITEM-1","issue":"1","issued":{"date-parts":[["2017"]]},"page":"55","title":"Perbedaan Sosial Ekonomi Dan Pengetahuan Gizi Ibu Balita Gizi Kurang Dan Gizi Normal","type":"article-journal","volume":"11"},"uris":["http://www.mendeley.com/documents/?uuid=c1700dd7-486e-4410-aed7-9af6d6ae3f97"]}],"mendeley":{"formattedCitation":"(Rahma and Nadhiroh, 2017)","plainTextFormattedCitation":"(Rahma and Nadhiroh, 2017)","previouslyFormattedCitation":"(Rahma and Nadhiroh, 2017)"},"properties":{"noteIndex":0},"schema":"https://github.com/citation-style-language/schema/raw/master/csl-citation.json"}</w:instrText>
      </w:r>
      <w:r w:rsidR="00B814C9">
        <w:rPr>
          <w:sz w:val="20"/>
          <w:szCs w:val="20"/>
        </w:rPr>
        <w:fldChar w:fldCharType="separate"/>
      </w:r>
      <w:r w:rsidR="00B814C9" w:rsidRPr="00B814C9">
        <w:rPr>
          <w:noProof/>
          <w:sz w:val="20"/>
          <w:szCs w:val="20"/>
        </w:rPr>
        <w:t>(Rahma and Nadhiroh, 2017)</w:t>
      </w:r>
      <w:r w:rsidR="00B814C9">
        <w:rPr>
          <w:sz w:val="20"/>
          <w:szCs w:val="20"/>
        </w:rPr>
        <w:fldChar w:fldCharType="end"/>
      </w:r>
      <w:r w:rsidRPr="00D45EEB">
        <w:rPr>
          <w:sz w:val="20"/>
          <w:szCs w:val="20"/>
        </w:rPr>
        <w:t>.</w:t>
      </w:r>
    </w:p>
    <w:p w14:paraId="0928296F" w14:textId="77777777" w:rsidR="00D45EEB" w:rsidRPr="00D45EEB" w:rsidRDefault="00D45EEB" w:rsidP="00ED5751">
      <w:pPr>
        <w:ind w:firstLine="567"/>
        <w:contextualSpacing/>
        <w:jc w:val="both"/>
        <w:rPr>
          <w:sz w:val="20"/>
          <w:szCs w:val="20"/>
        </w:rPr>
      </w:pPr>
      <w:r w:rsidRPr="00D45EEB">
        <w:rPr>
          <w:sz w:val="20"/>
          <w:szCs w:val="20"/>
        </w:rPr>
        <w:t xml:space="preserve">The cause of the Toddler </w:t>
      </w:r>
      <w:proofErr w:type="gramStart"/>
      <w:r w:rsidRPr="00D45EEB">
        <w:rPr>
          <w:sz w:val="20"/>
          <w:szCs w:val="20"/>
        </w:rPr>
        <w:t>Under</w:t>
      </w:r>
      <w:proofErr w:type="gramEnd"/>
      <w:r w:rsidRPr="00D45EEB">
        <w:rPr>
          <w:sz w:val="20"/>
          <w:szCs w:val="20"/>
        </w:rPr>
        <w:t xml:space="preserve"> the Red Line is because many toddlers experience malnutrition and then become malnourished because of late handling. The role of the mother is the main role for nutrition problems in children. So that the age factors of relatively young mothers, mother's education, working mothers and mothers' knowledge of nutritional status are very influential in parenting for their children. In Indonesia, both in preventing and overcoming malnutrition events </w:t>
      </w:r>
      <w:proofErr w:type="gramStart"/>
      <w:r w:rsidRPr="00D45EEB">
        <w:rPr>
          <w:sz w:val="20"/>
          <w:szCs w:val="20"/>
        </w:rPr>
        <w:t>is</w:t>
      </w:r>
      <w:proofErr w:type="gramEnd"/>
      <w:r w:rsidRPr="00D45EEB">
        <w:rPr>
          <w:sz w:val="20"/>
          <w:szCs w:val="20"/>
        </w:rPr>
        <w:t xml:space="preserve"> growth monitoring. This growth monitoring activity is aimed at tackling nutritional problems with regular weighing activities for children aged five years at the </w:t>
      </w:r>
      <w:proofErr w:type="spellStart"/>
      <w:r w:rsidRPr="00D45EEB">
        <w:rPr>
          <w:i/>
          <w:iCs/>
          <w:sz w:val="20"/>
          <w:szCs w:val="20"/>
        </w:rPr>
        <w:t>Posyandu</w:t>
      </w:r>
      <w:proofErr w:type="spellEnd"/>
      <w:r w:rsidRPr="00D45EEB">
        <w:rPr>
          <w:sz w:val="20"/>
          <w:szCs w:val="20"/>
        </w:rPr>
        <w:t xml:space="preserve">, but overcoming nutrition problems depends on active participation from the public and support from health workers for the importance of participating regularly at the </w:t>
      </w:r>
      <w:proofErr w:type="spellStart"/>
      <w:r w:rsidRPr="00D45EEB">
        <w:rPr>
          <w:i/>
          <w:iCs/>
          <w:sz w:val="20"/>
          <w:szCs w:val="20"/>
        </w:rPr>
        <w:t>Posyandu</w:t>
      </w:r>
      <w:proofErr w:type="spellEnd"/>
      <w:r w:rsidRPr="00D45EEB">
        <w:rPr>
          <w:sz w:val="20"/>
          <w:szCs w:val="20"/>
        </w:rPr>
        <w:t>.</w:t>
      </w:r>
    </w:p>
    <w:p w14:paraId="64CA3D6C" w14:textId="5224BD5D" w:rsidR="00D45EEB" w:rsidRPr="00D45EEB" w:rsidRDefault="00D45EEB" w:rsidP="00ED5751">
      <w:pPr>
        <w:ind w:firstLine="567"/>
        <w:contextualSpacing/>
        <w:jc w:val="both"/>
        <w:rPr>
          <w:sz w:val="20"/>
          <w:szCs w:val="20"/>
        </w:rPr>
      </w:pPr>
      <w:r w:rsidRPr="00D45EEB">
        <w:rPr>
          <w:sz w:val="20"/>
          <w:szCs w:val="20"/>
        </w:rPr>
        <w:t xml:space="preserve">Mothers who are not active in visiting </w:t>
      </w:r>
      <w:proofErr w:type="spellStart"/>
      <w:r w:rsidRPr="00D45EEB">
        <w:rPr>
          <w:i/>
          <w:iCs/>
          <w:sz w:val="20"/>
          <w:szCs w:val="20"/>
        </w:rPr>
        <w:t>Posyandu</w:t>
      </w:r>
      <w:proofErr w:type="spellEnd"/>
      <w:r w:rsidRPr="00D45EEB">
        <w:rPr>
          <w:sz w:val="20"/>
          <w:szCs w:val="20"/>
        </w:rPr>
        <w:t xml:space="preserve"> caused mothers to lack of information about the importance of the nutritional status of children under-five years old. They also do not get support from health workers if mothers have health problems in their toddlers, as well as monitoring the growth </w:t>
      </w:r>
      <w:proofErr w:type="gramStart"/>
      <w:r w:rsidRPr="00D45EEB">
        <w:rPr>
          <w:sz w:val="20"/>
          <w:szCs w:val="20"/>
        </w:rPr>
        <w:t>who</w:t>
      </w:r>
      <w:proofErr w:type="gramEnd"/>
      <w:r w:rsidRPr="00D45EEB">
        <w:rPr>
          <w:sz w:val="20"/>
          <w:szCs w:val="20"/>
        </w:rPr>
        <w:t xml:space="preserve"> cannot be monitored optimally. </w:t>
      </w:r>
      <w:r w:rsidRPr="00D45EEB">
        <w:rPr>
          <w:sz w:val="20"/>
          <w:szCs w:val="20"/>
        </w:rPr>
        <w:fldChar w:fldCharType="begin" w:fldLock="1"/>
      </w:r>
      <w:r w:rsidR="002A67A1">
        <w:rPr>
          <w:sz w:val="20"/>
          <w:szCs w:val="20"/>
        </w:rPr>
        <w:instrText>ADDIN CSL_CITATION {"citationItems":[{"id":"ITEM-1","itemData":{"author":[{"dropping-particle":"","family":"Fitriani","given":"Nurlaila","non-dropping-particle":"","parse-names":false,"suffix":""}],"container-title":"Jurnal Studi Keislaman dan Ilmu Pendidikan","id":"ITEM-1","issue":"1","issued":{"date-parts":[["2018"]]},"page":"70-80","title":"Hubungan Kunjungan Ibu ke Posyandu dengan Jumlah Balita Bawah Garis Merah ( BGM ) di Desa Tente Kecamatan Woha Kabupaten Bima Correlation between Mother ’ s Activeness Integrated With Health Service Number Reduction of Toddler Below The Red Line ( BGM ) I","type":"article-journal","volume":"6"},"uris":["http://www.mendeley.com/documents/?uuid=0983df49-5a75-448a-b72b-0d5cb25d89a7","http://www.mendeley.com/documents/?uuid=a3eb188e-cfd3-4b6f-a842-716bf0341672","http://www.mendeley.com/documents/?uuid=c16a014e-ca00-4d43-af1d-c323f32f3886","http://www.mendeley.com/documents/?uuid=2ea17451-372f-4fcc-a45b-5494424cc3b5"]}],"mendeley":{"formattedCitation":"(Fitriani, 2018a)","manualFormatting":"(Fitriani, 2018)","plainTextFormattedCitation":"(Fitriani, 2018a)","previouslyFormattedCitation":"(Fitriani, 2018a)"},"properties":{"noteIndex":0},"schema":"https://github.com/citation-style-language/schema/raw/master/csl-citation.json"}</w:instrText>
      </w:r>
      <w:r w:rsidRPr="00D45EEB">
        <w:rPr>
          <w:sz w:val="20"/>
          <w:szCs w:val="20"/>
        </w:rPr>
        <w:fldChar w:fldCharType="separate"/>
      </w:r>
      <w:proofErr w:type="gramStart"/>
      <w:r w:rsidR="006854C2">
        <w:rPr>
          <w:noProof/>
          <w:sz w:val="20"/>
          <w:szCs w:val="20"/>
        </w:rPr>
        <w:t>(Fitriani, 2018</w:t>
      </w:r>
      <w:r w:rsidR="006854C2" w:rsidRPr="006854C2">
        <w:rPr>
          <w:noProof/>
          <w:sz w:val="20"/>
          <w:szCs w:val="20"/>
        </w:rPr>
        <w:t>)</w:t>
      </w:r>
      <w:r w:rsidRPr="00D45EEB">
        <w:rPr>
          <w:sz w:val="20"/>
          <w:szCs w:val="20"/>
        </w:rPr>
        <w:fldChar w:fldCharType="end"/>
      </w:r>
      <w:r w:rsidRPr="00D45EEB">
        <w:rPr>
          <w:sz w:val="20"/>
          <w:szCs w:val="20"/>
        </w:rPr>
        <w:t>.</w:t>
      </w:r>
      <w:proofErr w:type="gramEnd"/>
    </w:p>
    <w:p w14:paraId="39998B01" w14:textId="370E4127" w:rsidR="00D45EEB" w:rsidRPr="00D45EEB" w:rsidRDefault="00D45EEB" w:rsidP="00ED5751">
      <w:pPr>
        <w:ind w:firstLine="567"/>
        <w:contextualSpacing/>
        <w:jc w:val="both"/>
        <w:rPr>
          <w:sz w:val="20"/>
          <w:szCs w:val="20"/>
        </w:rPr>
      </w:pPr>
      <w:r w:rsidRPr="00D45EEB">
        <w:rPr>
          <w:sz w:val="20"/>
          <w:szCs w:val="20"/>
        </w:rPr>
        <w:t xml:space="preserve">The next intervention is the Supplementary Feeding Activity (SFA). This program is a food supplementation program to improve the nutritional status of children who are malnourished. SFA is given for children aged 6-11 months in the form of Complementary Food for </w:t>
      </w:r>
      <w:proofErr w:type="spellStart"/>
      <w:r w:rsidRPr="00D45EEB">
        <w:rPr>
          <w:sz w:val="20"/>
          <w:szCs w:val="20"/>
        </w:rPr>
        <w:t>Breastmilk</w:t>
      </w:r>
      <w:proofErr w:type="spellEnd"/>
      <w:r w:rsidRPr="00D45EEB">
        <w:rPr>
          <w:sz w:val="20"/>
          <w:szCs w:val="20"/>
        </w:rPr>
        <w:t xml:space="preserve"> /</w:t>
      </w:r>
      <w:proofErr w:type="spellStart"/>
      <w:r w:rsidRPr="00D45EEB">
        <w:rPr>
          <w:i/>
          <w:iCs/>
          <w:sz w:val="20"/>
          <w:szCs w:val="20"/>
        </w:rPr>
        <w:t>Makanan</w:t>
      </w:r>
      <w:proofErr w:type="spellEnd"/>
      <w:r w:rsidRPr="00D45EEB">
        <w:rPr>
          <w:i/>
          <w:iCs/>
          <w:sz w:val="20"/>
          <w:szCs w:val="20"/>
        </w:rPr>
        <w:t xml:space="preserve"> </w:t>
      </w:r>
      <w:proofErr w:type="spellStart"/>
      <w:r w:rsidRPr="00D45EEB">
        <w:rPr>
          <w:i/>
          <w:iCs/>
          <w:sz w:val="20"/>
          <w:szCs w:val="20"/>
        </w:rPr>
        <w:t>Pendamping</w:t>
      </w:r>
      <w:proofErr w:type="spellEnd"/>
      <w:r w:rsidRPr="00D45EEB">
        <w:rPr>
          <w:i/>
          <w:iCs/>
          <w:sz w:val="20"/>
          <w:szCs w:val="20"/>
        </w:rPr>
        <w:t xml:space="preserve"> Air </w:t>
      </w:r>
      <w:proofErr w:type="spellStart"/>
      <w:r w:rsidRPr="00D45EEB">
        <w:rPr>
          <w:i/>
          <w:iCs/>
          <w:sz w:val="20"/>
          <w:szCs w:val="20"/>
        </w:rPr>
        <w:t>Susu</w:t>
      </w:r>
      <w:proofErr w:type="spellEnd"/>
      <w:r w:rsidRPr="00D45EEB">
        <w:rPr>
          <w:i/>
          <w:iCs/>
          <w:sz w:val="20"/>
          <w:szCs w:val="20"/>
        </w:rPr>
        <w:t xml:space="preserve"> </w:t>
      </w:r>
      <w:proofErr w:type="spellStart"/>
      <w:r w:rsidRPr="00D45EEB">
        <w:rPr>
          <w:i/>
          <w:iCs/>
          <w:sz w:val="20"/>
          <w:szCs w:val="20"/>
        </w:rPr>
        <w:t>Ibu</w:t>
      </w:r>
      <w:proofErr w:type="spellEnd"/>
      <w:r w:rsidRPr="00D45EEB">
        <w:rPr>
          <w:i/>
          <w:iCs/>
          <w:sz w:val="20"/>
          <w:szCs w:val="20"/>
        </w:rPr>
        <w:t xml:space="preserve"> </w:t>
      </w:r>
      <w:r w:rsidRPr="00D45EEB">
        <w:rPr>
          <w:sz w:val="20"/>
          <w:szCs w:val="20"/>
        </w:rPr>
        <w:t xml:space="preserve">(MP-ASI) or blended food. For children aged 1 </w:t>
      </w:r>
      <w:r w:rsidRPr="00D45EEB">
        <w:rPr>
          <w:sz w:val="20"/>
          <w:szCs w:val="20"/>
        </w:rPr>
        <w:fldChar w:fldCharType="begin" w:fldLock="1"/>
      </w:r>
      <w:r w:rsidR="009200D1">
        <w:rPr>
          <w:sz w:val="20"/>
          <w:szCs w:val="20"/>
        </w:rPr>
        <w:instrText>ADDIN CSL_CITATION {"citationItems":[{"id":"ITEM-1","itemData":{"abstract":"BGM merupakan penyebab pertama kematian anak balita yaitu sebesar 54% kematian anak balita di dunia, Indonesia sebagai peringkat kelima dunia yang anak balitanya mengalami gangguan pertumbuhan dengan jumlah anak balita yang berat badannya berada di bawah garis merah sebesar 3,1% juta anak balita. Penelitian ini bertujuan untuk mengetahui hubungan kejadian anak balita bawah garis merah (BGM) di Wilayah Kerja Puskesmas Nokilalaki. Jenis penelitian yang digunakan dalam penelitian ini adalah metode propotional random sampling dengan pendekatan cross sectional study yang dalam pelaksanaannya baik variabel bebas (independent) maupun variabel terikat (dependent) dilakukan secara bersamaan dalam waktu yang sama. Berdasarkan hasil uji chi-square yang dilakukan menunjukkan bahwa tingkat pengetahuan Ibu tidak memiliki hubungan dengan kejadian anak balita bawah garis merah (BGM) dengan nilai p value = 0,073 dan status ekonomi memiliki hubungan dengan kejadian anak balita bawah garis merah (BGM) dengan nilai p value = 0,020. Diharapkan tenaga kesehatan dapat lebih meningkatkan penyuluhan yang lebih baik lagi mengenai pentingnya melakukan pencegahan kejadian anak balita bawah garis merah (BGM) yang dapat dilakukan oleh masyarakat khususnya ibu balita dalam memperbaiki tingkat pengetahuan melalui penyuluhan-penyuluhan yang dilakukan oleh tenaga kesehatan dan memperbaiki status ekonomi keluarga.","author":[{"dropping-particle":"","family":"Purnama Sari","given":"Dessy","non-dropping-particle":"","parse-names":false,"suffix":""},{"dropping-particle":"","family":"Laenggeng","given":"Abd.Hakim","non-dropping-particle":"","parse-names":false,"suffix":""},{"dropping-particle":"","family":"Tasya","given":"Zhanaz","non-dropping-particle":"","parse-names":false,"suffix":""}],"id":"ITEM-1","issued":{"date-parts":[["2016"]]},"title":"HUBUNGAN TINGKAT PENGETAHUAN IBU DAN STATUS EKONOMI KELUARGA DENGAN KEJADIAN ANAK BALITA BAWAH GARIS MERAH (BGM) DI WILAYAH KERJA PUSKESMAS NOKILALAKI","type":"article-journal"},"uris":["http://www.mendeley.com/documents/?uuid=f0e2be1d-6158-46fb-bace-00715746c0cc","http://www.mendeley.com/documents/?uuid=d6ceb3f8-9132-4484-8e46-27567130764b","http://www.mendeley.com/documents/?uuid=43589418-9211-403d-a6ba-8850f96d9d25","http://www.mendeley.com/documents/?uuid=9016aed2-82fe-4508-a90b-a34aaad9c863"]}],"mendeley":{"formattedCitation":"(Purnama Sari, Laenggeng and Tasya, 2016)","plainTextFormattedCitation":"(Purnama Sari, Laenggeng and Tasya, 2016)","previouslyFormattedCitation":"(Purnama Sari, Laenggeng and Tasya, 2016)"},"properties":{"noteIndex":0},"schema":"https://github.com/citation-style-language/schema/raw/master/csl-citation.json"}</w:instrText>
      </w:r>
      <w:r w:rsidRPr="00D45EEB">
        <w:rPr>
          <w:sz w:val="20"/>
          <w:szCs w:val="20"/>
        </w:rPr>
        <w:fldChar w:fldCharType="separate"/>
      </w:r>
      <w:r w:rsidRPr="00D45EEB">
        <w:rPr>
          <w:noProof/>
          <w:sz w:val="20"/>
          <w:szCs w:val="20"/>
        </w:rPr>
        <w:t>(Purnama Sari, Laenggeng and Tasya, 2016)</w:t>
      </w:r>
      <w:r w:rsidRPr="00D45EEB">
        <w:rPr>
          <w:sz w:val="20"/>
          <w:szCs w:val="20"/>
        </w:rPr>
        <w:fldChar w:fldCharType="end"/>
      </w:r>
      <w:r w:rsidRPr="00D45EEB">
        <w:rPr>
          <w:sz w:val="20"/>
          <w:szCs w:val="20"/>
        </w:rPr>
        <w:t>.</w:t>
      </w:r>
      <w:r w:rsidR="00A7178E">
        <w:rPr>
          <w:sz w:val="20"/>
          <w:szCs w:val="20"/>
        </w:rPr>
        <w:t xml:space="preserve"> </w:t>
      </w:r>
      <w:r w:rsidRPr="00D45EEB">
        <w:rPr>
          <w:sz w:val="20"/>
          <w:szCs w:val="20"/>
        </w:rPr>
        <w:t xml:space="preserve">2-59 months, biscuits are given as much as 75 grams/day and milk powder as much as 80 grams/day. Giving SFA must be considered by considering the critical growth period of children </w:t>
      </w:r>
      <w:r w:rsidRPr="00D45EEB">
        <w:rPr>
          <w:sz w:val="20"/>
          <w:szCs w:val="20"/>
        </w:rPr>
        <w:fldChar w:fldCharType="begin" w:fldLock="1"/>
      </w:r>
      <w:r w:rsidR="009200D1">
        <w:rPr>
          <w:sz w:val="20"/>
          <w:szCs w:val="20"/>
        </w:rPr>
        <w:instrText>ADDIN CSL_CITATION {"citationItems":[{"id":"ITEM-1","itemData":{"abstract":"masa balita merupakan periode penting dalam proses tumbuh kembang manusia. Gizi merupakan determinan penting tumbuh kembang anak, tetapi gizi saja tidak cukup, rangsangan juga diperlukan untuk pematangan fungsi tubuh. Gizi buruk dapat terjadi pada semua kelompok umur, tetapi yang perlu lebih diperhatikan adalah pada kelompok bayi dan balita. Jumlah kasus gizi buruk di Kabupaten Pekalongan pada tahun 2016 sebanyak 224 kasus yang tersebar di seluruh kecamatan, dan terbanyak ada di wilayah kecamatan Tirto, Wiradesa, Wonokerto, Karangdadap dan Kedungwuni. Penelitian ini bertujuan untuk menganalisis pengaruh pemberian makanan tambahan dan stimulasi terhadap pertumbuhan dan perkembangan balita BGM usia 1-2 tahun. Penelitian dilakukan di Puskesmas Kedungwuni 2 wilayah Dinas Kesehatan Kabupaten Pekalongan. Jenis penelitian ini adalah penelitian observasional dengan rancangan penelitiancohort. Populasi pada penelitian ini adalah balita BGM yang berusia 1-2 tahun di wilayah Puskesmas Kedungwuni 2 Kabupaten Pekalongan. Sampel yang diambil dalam penelitian sejumlah 14 balita. Analisis bivariat dilakukan dengan paired t test dan uji wilxocon. Hasil analisis bivariat menunjukkan bahwa ada beda yang signifikan antara sebelum dan sesudah program pemberian makanan tambahan dengan pertumbuhan balita BGMusia 1-2 tahun (p=0,0001). Tidak ada perbedaan antara sebelum dan sesudah pemberian stimulasi dengan perkembangan balita BGM usia 1-2 tahun (p=0,157)","author":[{"dropping-particle":"","family":"Inayah","given":"Maslahatul","non-dropping-particle":"","parse-names":false,"suffix":""},{"dropping-particle":"","family":"Hartono","given":"Mardi","non-dropping-particle":"","parse-names":false,"suffix":""}],"id":"ITEM-1","issue":"01","issued":{"date-parts":[["2016"]]},"page":"61-70","title":"PENGARUH PEMBERIAN MAKANAN TAMBAHAN DAN STIMULASI TERHADAP PERTUMBUHAN DAN PERKEMBANGAN BALITA BGM USIA 1-2 TAHUN","type":"article-journal","volume":"02"},"uris":["http://www.mendeley.com/documents/?uuid=48109fbc-cef8-4f15-ba33-def310256712","http://www.mendeley.com/documents/?uuid=2431de9d-5520-4e8c-a786-39b91178328d","http://www.mendeley.com/documents/?uuid=301c84be-ea3a-4120-b409-ff19d61580de","http://www.mendeley.com/documents/?uuid=19e8346f-462f-4f3e-a2e2-9634daae513a"]}],"mendeley":{"formattedCitation":"(Inayah and Hartono, 2016)","plainTextFormattedCitation":"(Inayah and Hartono, 2016)","previouslyFormattedCitation":"(Inayah and Hartono, 2016)"},"properties":{"noteIndex":0},"schema":"https://github.com/citation-style-language/schema/raw/master/csl-citation.json"}</w:instrText>
      </w:r>
      <w:r w:rsidRPr="00D45EEB">
        <w:rPr>
          <w:sz w:val="20"/>
          <w:szCs w:val="20"/>
        </w:rPr>
        <w:fldChar w:fldCharType="separate"/>
      </w:r>
      <w:r w:rsidRPr="00D45EEB">
        <w:rPr>
          <w:noProof/>
          <w:sz w:val="20"/>
          <w:szCs w:val="20"/>
        </w:rPr>
        <w:t>(Inayah and Hartono, 2016)</w:t>
      </w:r>
      <w:r w:rsidRPr="00D45EEB">
        <w:rPr>
          <w:sz w:val="20"/>
          <w:szCs w:val="20"/>
        </w:rPr>
        <w:fldChar w:fldCharType="end"/>
      </w:r>
      <w:r w:rsidRPr="00D45EEB">
        <w:rPr>
          <w:sz w:val="20"/>
          <w:szCs w:val="20"/>
        </w:rPr>
        <w:t>.</w:t>
      </w:r>
    </w:p>
    <w:p w14:paraId="527680B3" w14:textId="74F89067" w:rsidR="00D45EEB" w:rsidRPr="00D45EEB" w:rsidRDefault="00D45EEB" w:rsidP="00ED5751">
      <w:pPr>
        <w:ind w:firstLine="567"/>
        <w:contextualSpacing/>
        <w:jc w:val="both"/>
        <w:rPr>
          <w:sz w:val="20"/>
          <w:szCs w:val="20"/>
        </w:rPr>
      </w:pPr>
      <w:r w:rsidRPr="00D45EEB">
        <w:rPr>
          <w:sz w:val="20"/>
          <w:szCs w:val="20"/>
        </w:rPr>
        <w:t>The Nutrition Awareness Family Program/</w:t>
      </w:r>
      <w:r w:rsidRPr="00D45EEB">
        <w:rPr>
          <w:i/>
          <w:iCs/>
          <w:sz w:val="20"/>
          <w:szCs w:val="20"/>
        </w:rPr>
        <w:t xml:space="preserve">Program </w:t>
      </w:r>
      <w:proofErr w:type="spellStart"/>
      <w:r w:rsidRPr="00D45EEB">
        <w:rPr>
          <w:i/>
          <w:iCs/>
          <w:sz w:val="20"/>
          <w:szCs w:val="20"/>
        </w:rPr>
        <w:t>Keluarga</w:t>
      </w:r>
      <w:proofErr w:type="spellEnd"/>
      <w:r w:rsidRPr="00D45EEB">
        <w:rPr>
          <w:i/>
          <w:iCs/>
          <w:sz w:val="20"/>
          <w:szCs w:val="20"/>
        </w:rPr>
        <w:t xml:space="preserve"> </w:t>
      </w:r>
      <w:proofErr w:type="spellStart"/>
      <w:r w:rsidRPr="00D45EEB">
        <w:rPr>
          <w:i/>
          <w:iCs/>
          <w:sz w:val="20"/>
          <w:szCs w:val="20"/>
        </w:rPr>
        <w:t>Sadar</w:t>
      </w:r>
      <w:proofErr w:type="spellEnd"/>
      <w:r w:rsidRPr="00D45EEB">
        <w:rPr>
          <w:i/>
          <w:iCs/>
          <w:sz w:val="20"/>
          <w:szCs w:val="20"/>
        </w:rPr>
        <w:t xml:space="preserve"> </w:t>
      </w:r>
      <w:proofErr w:type="spellStart"/>
      <w:r w:rsidRPr="00D45EEB">
        <w:rPr>
          <w:i/>
          <w:iCs/>
          <w:sz w:val="20"/>
          <w:szCs w:val="20"/>
        </w:rPr>
        <w:t>Gizi</w:t>
      </w:r>
      <w:proofErr w:type="spellEnd"/>
      <w:r w:rsidRPr="00D45EEB">
        <w:rPr>
          <w:sz w:val="20"/>
          <w:szCs w:val="20"/>
        </w:rPr>
        <w:t xml:space="preserve"> (KADARZI) is also a program dealing with nutritional problems with the help of the role of the family of toddlers themselves practicing good nutritional behavior, such as weighing regularly, giving only breast milk to babies from birth to 6 months of age, eat a variety of foods, using iodized salt and nutritional supplement drinks as recommended </w:t>
      </w:r>
      <w:r w:rsidRPr="00D45EEB">
        <w:rPr>
          <w:sz w:val="20"/>
          <w:szCs w:val="20"/>
        </w:rPr>
        <w:fldChar w:fldCharType="begin" w:fldLock="1"/>
      </w:r>
      <w:r w:rsidR="009200D1">
        <w:rPr>
          <w:sz w:val="20"/>
          <w:szCs w:val="20"/>
        </w:rPr>
        <w:instrText>ADDIN CSL_CITATION {"citationItems":[{"id":"ITEM-1","itemData":{"DOI":"10.20473/mgi.v13i2.176","author":[{"dropping-particle":"","family":"Rachmayanti","given":"Riris Diana","non-dropping-particle":"","parse-names":false,"suffix":""}],"id":"ITEM-1","issue":"2018","issued":{"date-parts":[["2017"]]},"page":"176-182","title":"Pengenalan Program Kadarzi Di Kelurahan","type":"article-journal"},"uris":["http://www.mendeley.com/documents/?uuid=619de57b-e77b-47d4-91e7-63001bff9909","http://www.mendeley.com/documents/?uuid=a339b004-0569-4029-ad04-b6e2d4e6fb1c","http://www.mendeley.com/documents/?uuid=9221425a-2d2c-4577-8d93-6c49ac753860","http://www.mendeley.com/documents/?uuid=0db51f75-d9fd-4791-8d78-a69db870c33c"]}],"mendeley":{"formattedCitation":"(Rachmayanti, 2017)","plainTextFormattedCitation":"(Rachmayanti, 2017)","previouslyFormattedCitation":"(Rachmayanti, 2017)"},"properties":{"noteIndex":0},"schema":"https://github.com/citation-style-language/schema/raw/master/csl-citation.json"}</w:instrText>
      </w:r>
      <w:r w:rsidRPr="00D45EEB">
        <w:rPr>
          <w:sz w:val="20"/>
          <w:szCs w:val="20"/>
        </w:rPr>
        <w:fldChar w:fldCharType="separate"/>
      </w:r>
      <w:r w:rsidRPr="00D45EEB">
        <w:rPr>
          <w:noProof/>
          <w:sz w:val="20"/>
          <w:szCs w:val="20"/>
        </w:rPr>
        <w:t>(Rachmayanti, 2017)</w:t>
      </w:r>
      <w:r w:rsidRPr="00D45EEB">
        <w:rPr>
          <w:sz w:val="20"/>
          <w:szCs w:val="20"/>
        </w:rPr>
        <w:fldChar w:fldCharType="end"/>
      </w:r>
      <w:r w:rsidRPr="00D45EEB">
        <w:rPr>
          <w:sz w:val="20"/>
          <w:szCs w:val="20"/>
        </w:rPr>
        <w:t>.</w:t>
      </w:r>
    </w:p>
    <w:p w14:paraId="27343CFA" w14:textId="72E59BC0" w:rsidR="00D45EEB" w:rsidRPr="00D45EEB" w:rsidRDefault="00A7178E" w:rsidP="00ED5751">
      <w:pPr>
        <w:ind w:firstLine="567"/>
        <w:contextualSpacing/>
        <w:jc w:val="both"/>
        <w:rPr>
          <w:sz w:val="20"/>
          <w:szCs w:val="20"/>
        </w:rPr>
      </w:pPr>
      <w:r>
        <w:rPr>
          <w:sz w:val="20"/>
          <w:szCs w:val="20"/>
        </w:rPr>
        <w:t>  </w:t>
      </w:r>
      <w:r w:rsidR="00D45EEB" w:rsidRPr="00D45EEB">
        <w:rPr>
          <w:sz w:val="20"/>
          <w:szCs w:val="20"/>
        </w:rPr>
        <w:t xml:space="preserve">According to research result in </w:t>
      </w:r>
      <w:proofErr w:type="spellStart"/>
      <w:r w:rsidR="00D45EEB" w:rsidRPr="00D45EEB">
        <w:rPr>
          <w:sz w:val="20"/>
          <w:szCs w:val="20"/>
        </w:rPr>
        <w:t>Wonokusumo</w:t>
      </w:r>
      <w:proofErr w:type="spellEnd"/>
      <w:r w:rsidR="00D45EEB" w:rsidRPr="00D45EEB">
        <w:rPr>
          <w:sz w:val="20"/>
          <w:szCs w:val="20"/>
        </w:rPr>
        <w:t xml:space="preserve"> Urban Village Surabaya, regarding the implementation of the KADARZI program has not been maximized because many families do not know and do not understand the existence of the program. So the need for the role of health workers to make home visits to toddlers below the red line or have poor nutritional status to explain information related to KADARZI </w:t>
      </w:r>
      <w:r w:rsidR="00D45EEB" w:rsidRPr="00D45EEB">
        <w:rPr>
          <w:sz w:val="20"/>
          <w:szCs w:val="20"/>
        </w:rPr>
        <w:fldChar w:fldCharType="begin" w:fldLock="1"/>
      </w:r>
      <w:r w:rsidR="009200D1">
        <w:rPr>
          <w:sz w:val="20"/>
          <w:szCs w:val="20"/>
        </w:rPr>
        <w:instrText>ADDIN CSL_CITATION {"citationItems":[{"id":"ITEM-1","itemData":{"DOI":"10.20473/mgi.v13i2.176","author":[{"dropping-particle":"","family":"Rachmayanti","given":"Riris Diana","non-dropping-particle":"","parse-names":false,"suffix":""}],"id":"ITEM-1","issue":"2018","issued":{"date-parts":[["2017"]]},"page":"176-182","title":"Pengenalan Program Kadarzi Di Kelurahan","type":"article-journal"},"uris":["http://www.mendeley.com/documents/?uuid=0db51f75-d9fd-4791-8d78-a69db870c33c","http://www.mendeley.com/documents/?uuid=9221425a-2d2c-4577-8d93-6c49ac753860","http://www.mendeley.com/documents/?uuid=619de57b-e77b-47d4-91e7-63001bff9909"]}],"mendeley":{"formattedCitation":"(Rachmayanti, 2017)","plainTextFormattedCitation":"(Rachmayanti, 2017)","previouslyFormattedCitation":"(Rachmayanti, 2017)"},"properties":{"noteIndex":0},"schema":"https://github.com/citation-style-language/schema/raw/master/csl-citation.json"}</w:instrText>
      </w:r>
      <w:r w:rsidR="00D45EEB" w:rsidRPr="00D45EEB">
        <w:rPr>
          <w:sz w:val="20"/>
          <w:szCs w:val="20"/>
        </w:rPr>
        <w:fldChar w:fldCharType="separate"/>
      </w:r>
      <w:r w:rsidR="00D45EEB" w:rsidRPr="00D45EEB">
        <w:rPr>
          <w:noProof/>
          <w:sz w:val="20"/>
          <w:szCs w:val="20"/>
        </w:rPr>
        <w:t>(Rachmayanti, 2017)</w:t>
      </w:r>
      <w:r w:rsidR="00D45EEB" w:rsidRPr="00D45EEB">
        <w:rPr>
          <w:sz w:val="20"/>
          <w:szCs w:val="20"/>
        </w:rPr>
        <w:fldChar w:fldCharType="end"/>
      </w:r>
      <w:r w:rsidR="00D45EEB" w:rsidRPr="00D45EEB">
        <w:rPr>
          <w:sz w:val="20"/>
          <w:szCs w:val="20"/>
        </w:rPr>
        <w:t>.</w:t>
      </w:r>
    </w:p>
    <w:p w14:paraId="1A141685" w14:textId="4FB3ABBF" w:rsidR="00D45EEB" w:rsidRPr="00D45EEB" w:rsidRDefault="00D45EEB" w:rsidP="00ED5751">
      <w:pPr>
        <w:ind w:firstLine="567"/>
        <w:contextualSpacing/>
        <w:jc w:val="both"/>
        <w:rPr>
          <w:sz w:val="20"/>
          <w:szCs w:val="20"/>
        </w:rPr>
      </w:pPr>
      <w:r w:rsidRPr="00D45EEB">
        <w:rPr>
          <w:sz w:val="20"/>
          <w:szCs w:val="20"/>
        </w:rPr>
        <w:t xml:space="preserve">Various malnutrition prevention programs carried out by the government, often experience failure or the program will stop with the cessation of existing funds </w:t>
      </w:r>
      <w:r w:rsidRPr="00D45EEB">
        <w:rPr>
          <w:sz w:val="20"/>
          <w:szCs w:val="20"/>
        </w:rPr>
        <w:fldChar w:fldCharType="begin" w:fldLock="1"/>
      </w:r>
      <w:r w:rsidR="009200D1">
        <w:rPr>
          <w:sz w:val="20"/>
          <w:szCs w:val="20"/>
        </w:rPr>
        <w:instrText>ADDIN CSL_CITATION {"citationItems":[{"id":"ITEM-1","itemData":{"abstract":"The goal of this research is to analyze and provide an overview Prevention Program Implementation Malnutrition in Children Under Five Years On Donggala District Health Office of Central Sulawesi Province. This study refers to the opinion of Edward III of Implementation which includes elements of Interest, Communication, Resources, Disposition, and Bureaucratic Structure. This type of research in achieving the purposes and objectives of the research are descriptive method qualitative approach. The research location in Donggala Health Office. Informants in this study were selected purposively as many as five people. Data collection techniques used were observation, interview, and documentation. The data analysis was performed with data reduction procedures, presentation of data and draw conclusions. The results of this study explained that the implementation Program countermeasures Malnutrition Children Under Five Years On Health Office Donggala, judging by the theory of policy implementation raised by Edward III, which includes Communications, Resources, Disposis and Strukutur Bureaucracy has not overall have not been going well. This is because of all these factors there is still a factor Source Day that has not gone well, while the communication factor, disposition, and structural Bureaucracy has been well implemented.","author":[{"dropping-particle":"","family":"Lisang","given":"Amran Gatah","non-dropping-particle":"","parse-names":false,"suffix":""}],"container-title":"e Jurnal Katalogis","id":"ITEM-1","issue":"2","issued":{"date-parts":[["2017"]]},"page":"14-25","title":"IMPLEMENTASI PROGRAM PENANGGULANGAN GIZI BURUK PADA ANAK BAWAH LIMA TAHUN PADA DINAS KESEHATAN","type":"article-journal","volume":"5"},"uris":["http://www.mendeley.com/documents/?uuid=357d2668-361a-4d34-b01b-532405d883e7","http://www.mendeley.com/documents/?uuid=66aca301-9032-43f9-8e25-eed5a36d1a1f","http://www.mendeley.com/documents/?uuid=7f2538ef-be5f-4f28-91bd-0a0564153a67","http://www.mendeley.com/documents/?uuid=7c5ed2a8-b93c-4539-8ddd-227ab8a894b8"]}],"mendeley":{"formattedCitation":"(Lisang, 2017)","plainTextFormattedCitation":"(Lisang, 2017)","previouslyFormattedCitation":"(Lisang, 2017)"},"properties":{"noteIndex":0},"schema":"https://github.com/citation-style-language/schema/raw/master/csl-citation.json"}</w:instrText>
      </w:r>
      <w:r w:rsidRPr="00D45EEB">
        <w:rPr>
          <w:sz w:val="20"/>
          <w:szCs w:val="20"/>
        </w:rPr>
        <w:fldChar w:fldCharType="separate"/>
      </w:r>
      <w:r w:rsidRPr="00D45EEB">
        <w:rPr>
          <w:noProof/>
          <w:sz w:val="20"/>
          <w:szCs w:val="20"/>
        </w:rPr>
        <w:t>(Lisang, 2017)</w:t>
      </w:r>
      <w:r w:rsidRPr="00D45EEB">
        <w:rPr>
          <w:sz w:val="20"/>
          <w:szCs w:val="20"/>
        </w:rPr>
        <w:fldChar w:fldCharType="end"/>
      </w:r>
      <w:r w:rsidRPr="00D45EEB">
        <w:rPr>
          <w:sz w:val="20"/>
          <w:szCs w:val="20"/>
        </w:rPr>
        <w:t>. This happens because the planning and decision-making process in development programs is often carried out from the top down. Public development program plans are usually made at the central (top) level and implemented by provincial and district agencies. Communities are often included without being given choices and opportunities to provide input. In this vision, the public is placed in a position that needs outside help.</w:t>
      </w:r>
    </w:p>
    <w:p w14:paraId="0FB09BAD" w14:textId="17ED9AF0" w:rsidR="00D45EEB" w:rsidRPr="00D45EEB" w:rsidRDefault="00D45EEB" w:rsidP="00ED5751">
      <w:pPr>
        <w:ind w:firstLine="567"/>
        <w:contextualSpacing/>
        <w:jc w:val="both"/>
        <w:rPr>
          <w:sz w:val="20"/>
          <w:szCs w:val="20"/>
        </w:rPr>
      </w:pPr>
      <w:r w:rsidRPr="00D45EEB">
        <w:rPr>
          <w:sz w:val="20"/>
          <w:szCs w:val="20"/>
        </w:rPr>
        <w:t xml:space="preserve">In overcoming the Below Red Line incident, the government is carrying out programs such as growth monitoring, supplementary feeding and KADARZI programs that have not been maximized due to the lack of socialization by health workers and the active role of the Public. Lower-line toddler (Below Red Line) services should be provided in an integrated and comprehensive manner so as to prevent recurring malnutrition and infectious diseases in children. </w:t>
      </w:r>
      <w:proofErr w:type="gramStart"/>
      <w:r w:rsidRPr="00D45EEB">
        <w:rPr>
          <w:sz w:val="20"/>
          <w:szCs w:val="20"/>
        </w:rPr>
        <w:t>As a promotional service in the form of food education and children's health.</w:t>
      </w:r>
      <w:proofErr w:type="gramEnd"/>
      <w:r w:rsidRPr="00D45EEB">
        <w:rPr>
          <w:sz w:val="20"/>
          <w:szCs w:val="20"/>
        </w:rPr>
        <w:t xml:space="preserve"> </w:t>
      </w:r>
      <w:proofErr w:type="gramStart"/>
      <w:r w:rsidRPr="00D45EEB">
        <w:rPr>
          <w:sz w:val="20"/>
          <w:szCs w:val="20"/>
        </w:rPr>
        <w:t>Preventive services in the form of notification of underweight children, education of food patterns, weighing, referral to health workers and supplementary feeding.</w:t>
      </w:r>
      <w:proofErr w:type="gramEnd"/>
      <w:r w:rsidRPr="00D45EEB">
        <w:rPr>
          <w:sz w:val="20"/>
          <w:szCs w:val="20"/>
        </w:rPr>
        <w:t xml:space="preserve"> And improvement of curative services</w:t>
      </w:r>
      <w:r w:rsidR="006854C2">
        <w:rPr>
          <w:sz w:val="20"/>
          <w:szCs w:val="20"/>
        </w:rPr>
        <w:t xml:space="preserve"> </w:t>
      </w:r>
      <w:r w:rsidR="002A67A1">
        <w:rPr>
          <w:sz w:val="20"/>
          <w:szCs w:val="20"/>
        </w:rPr>
        <w:fldChar w:fldCharType="begin" w:fldLock="1"/>
      </w:r>
      <w:r w:rsidR="002A67A1">
        <w:rPr>
          <w:sz w:val="20"/>
          <w:szCs w:val="20"/>
        </w:rPr>
        <w:instrText>ADDIN CSL_CITATION {"citationItems":[{"id":"ITEM-1","itemData":{"author":[{"dropping-particle":"","family":"Laurentia","given":"Lisbeth Maria","non-dropping-particle":"","parse-names":false,"suffix":""},{"dropping-particle":"","family":"Setiawati","given":"Elsa Pudji","non-dropping-particle":"","parse-names":false,"suffix":""},{"dropping-particle":"","family":"Somasetia","given":"Dadang Hudaya","non-dropping-particle":"","parse-names":false,"suffix":""},{"dropping-particle":"","family":"Hilmanto","given":"Dany","non-dropping-particle":"","parse-names":false,"suffix":""}],"id":"ITEM-1","issued":{"date-parts":[["2016"]]},"page":"192-199","title":"Gambaran Pelayanan Terintegrasi dan Komprehensif pada Balita Bawah Garis Merah di Puskesmas Soreang Illustration of Integrated and Comprehensive Health Services for Under","type":"article-journal","volume":"2"},"uris":["http://www.mendeley.com/documents/?uuid=ce299a42-e832-4255-9d86-cea7e508d14b"]}],"mendeley":{"formattedCitation":"(Laurentia, Setiawati, Somasetia and Hilmanto, 2016)","plainTextFormattedCitation":"(Laurentia, Setiawati, Somasetia and Hilmanto, 2016)","previouslyFormattedCitation":"(Laurentia, Setiawati, Somasetia and Hilmanto, 2016)"},"properties":{"noteIndex":0},"schema":"https://github.com/citation-style-language/schema/raw/master/csl-citation.json"}</w:instrText>
      </w:r>
      <w:r w:rsidR="002A67A1">
        <w:rPr>
          <w:sz w:val="20"/>
          <w:szCs w:val="20"/>
        </w:rPr>
        <w:fldChar w:fldCharType="separate"/>
      </w:r>
      <w:r w:rsidR="002A67A1" w:rsidRPr="002A67A1">
        <w:rPr>
          <w:noProof/>
          <w:sz w:val="20"/>
          <w:szCs w:val="20"/>
        </w:rPr>
        <w:t>(Laurentia, Setiawati, Somasetia and Hilmanto, 2016)</w:t>
      </w:r>
      <w:r w:rsidR="002A67A1">
        <w:rPr>
          <w:sz w:val="20"/>
          <w:szCs w:val="20"/>
        </w:rPr>
        <w:fldChar w:fldCharType="end"/>
      </w:r>
      <w:r w:rsidRPr="00D45EEB">
        <w:rPr>
          <w:sz w:val="20"/>
          <w:szCs w:val="20"/>
        </w:rPr>
        <w:t>. Lower-line toddler services not only the role of mothers and midwives, but the need for the support of doctors, specialist doctors for health education, then cadres and districts.</w:t>
      </w:r>
    </w:p>
    <w:p w14:paraId="0550E789" w14:textId="77777777" w:rsidR="00D45EEB" w:rsidRPr="00D45EEB" w:rsidRDefault="00D45EEB" w:rsidP="00ED5751">
      <w:pPr>
        <w:ind w:firstLine="567"/>
        <w:contextualSpacing/>
        <w:jc w:val="both"/>
        <w:rPr>
          <w:sz w:val="20"/>
          <w:szCs w:val="20"/>
        </w:rPr>
      </w:pPr>
      <w:r w:rsidRPr="00D45EEB">
        <w:rPr>
          <w:sz w:val="20"/>
          <w:szCs w:val="20"/>
        </w:rPr>
        <w:t xml:space="preserve">Indonesia is the 17th country out of 117 countries that have complex nutrition problems, stunting, wasting and </w:t>
      </w:r>
      <w:proofErr w:type="spellStart"/>
      <w:r w:rsidRPr="00D45EEB">
        <w:rPr>
          <w:sz w:val="20"/>
          <w:szCs w:val="20"/>
        </w:rPr>
        <w:t>overwight</w:t>
      </w:r>
      <w:proofErr w:type="spellEnd"/>
      <w:r w:rsidRPr="00D45EEB">
        <w:rPr>
          <w:sz w:val="20"/>
          <w:szCs w:val="20"/>
        </w:rPr>
        <w:t xml:space="preserve">. To overcome this nutritional problem in 2010 the United Nations launched the </w:t>
      </w:r>
      <w:proofErr w:type="spellStart"/>
      <w:r w:rsidRPr="00D45EEB">
        <w:rPr>
          <w:sz w:val="20"/>
          <w:szCs w:val="20"/>
        </w:rPr>
        <w:t>Scalling</w:t>
      </w:r>
      <w:proofErr w:type="spellEnd"/>
      <w:r w:rsidRPr="00D45EEB">
        <w:rPr>
          <w:sz w:val="20"/>
          <w:szCs w:val="20"/>
        </w:rPr>
        <w:t xml:space="preserve"> </w:t>
      </w:r>
      <w:proofErr w:type="gramStart"/>
      <w:r w:rsidRPr="00D45EEB">
        <w:rPr>
          <w:sz w:val="20"/>
          <w:szCs w:val="20"/>
        </w:rPr>
        <w:t>Up</w:t>
      </w:r>
      <w:proofErr w:type="gramEnd"/>
      <w:r w:rsidRPr="00D45EEB">
        <w:rPr>
          <w:sz w:val="20"/>
          <w:szCs w:val="20"/>
        </w:rPr>
        <w:t xml:space="preserve"> Nutrition (SUN) program, which is a joint effort by the government and the Public to realize a vision of being free of food insecurity and malnutrition (zero hunger and malnutrition).</w:t>
      </w:r>
    </w:p>
    <w:p w14:paraId="0BCF2247" w14:textId="4DF6BC35" w:rsidR="00D45EEB" w:rsidRPr="00D45EEB" w:rsidRDefault="00D45EEB" w:rsidP="00ED5751">
      <w:pPr>
        <w:ind w:firstLine="567"/>
        <w:contextualSpacing/>
        <w:jc w:val="both"/>
        <w:rPr>
          <w:sz w:val="20"/>
          <w:szCs w:val="20"/>
        </w:rPr>
      </w:pPr>
      <w:r w:rsidRPr="00D45EEB">
        <w:rPr>
          <w:sz w:val="20"/>
          <w:szCs w:val="20"/>
        </w:rPr>
        <w:t xml:space="preserve">The program is also known as the First 1000 Days of Life (1000 </w:t>
      </w:r>
      <w:proofErr w:type="spellStart"/>
      <w:r w:rsidRPr="00D45EEB">
        <w:rPr>
          <w:sz w:val="20"/>
          <w:szCs w:val="20"/>
        </w:rPr>
        <w:t>DoL</w:t>
      </w:r>
      <w:proofErr w:type="spellEnd"/>
      <w:r w:rsidRPr="00D45EEB">
        <w:rPr>
          <w:sz w:val="20"/>
          <w:szCs w:val="20"/>
        </w:rPr>
        <w:t>). Movement carried out by 61 countries in the world with the aim of eliminating various types of malnutrition. SUN is a global effort to strengthen commitments and action plans to accelerate nutrition improvement and also support the Sustainable Development Goals (SDGs) by protecting children's rights to obtain adequate nutrition</w:t>
      </w:r>
      <w:r w:rsidR="00264AD7">
        <w:rPr>
          <w:sz w:val="20"/>
          <w:szCs w:val="20"/>
        </w:rPr>
        <w:t xml:space="preserve"> </w:t>
      </w:r>
      <w:r w:rsidR="002A67A1">
        <w:rPr>
          <w:sz w:val="20"/>
          <w:szCs w:val="20"/>
        </w:rPr>
        <w:fldChar w:fldCharType="begin" w:fldLock="1"/>
      </w:r>
      <w:r w:rsidR="002A67A1">
        <w:rPr>
          <w:sz w:val="20"/>
          <w:szCs w:val="20"/>
        </w:rPr>
        <w:instrText>ADDIN CSL_CITATION {"citationItems":[{"id":"ITEM-1","itemData":{"DOI":"10.22435/bpk.v44i2.5456.127-138","ISSN":"0125-9695","abstract":"Indonesia is facing double burden of malnutrition among children under-five. To resolve the problem, National Movement on Acceleration of Nutrition Improvement Program was conducted in the form of First Thousand Days of Life (1000 HPK) through specific and sensitive nutritional interventions performed by the health and and non-health sectors. The aim of the study was to identify specific and sensitive interventions that have been done to resolve the nutritional problems of under-five children in Bogor city. This was a qualitative study on 12 informants from the health and non-health sector. Data were collected through indepth interviews. The results showed that specific nutritional interventions were for the child (monitoring of Posyandu, immunization, vitamin A, and supplementary foods), for mother (pregnancy class, supplementary foods for pregnant women, nutrition and health seminars) and for adolescents (iron supplementation program). Whereas the sensitive nutrition interventions were environmental health interventions (Friday or Sunday cleaning program, making biopori, constructing communal septic tank), poverty interventions (cash transfer program, family hope program and PNPM), and women's empowerment interventions (education of health and nutrition, provision of seedlings for environment utilization). In conclusion, the specific and sensitive interventions should be integrated so the handling of the nutrition problems could be carried out sustainably.","author":[{"dropping-particle":"","family":"Rosha","given":"Bunga Ch","non-dropping-particle":"","parse-names":false,"suffix":""},{"dropping-particle":"","family":"Sari","given":"Kencana","non-dropping-particle":"","parse-names":false,"suffix":""},{"dropping-particle":"","family":"P","given":"Indri Yunita S","non-dropping-particle":"","parse-names":false,"suffix":""},{"dropping-particle":"","family":"Amaliah","given":"Nurilah","non-dropping-particle":"","parse-names":false,"suffix":""},{"dropping-particle":"","family":"Utami","given":"NH","non-dropping-particle":"","parse-names":false,"suffix":""}],"container-title":"Buletin Penelitian Kesehatan","id":"ITEM-1","issue":"2","issued":{"date-parts":[["2016"]]},"page":"127-138","title":"Peran Intervensi Gizi Spesifik dan Sensitif dalam Perbaikan Masalah Gizi Balita di Kota Bogor","type":"article-journal","volume":"44"},"uris":["http://www.mendeley.com/documents/?uuid=97b53146-c2b6-459f-b118-7da5a5328829"]}],"mendeley":{"formattedCitation":"(Rosha, Sari, P, Amaliah and Utami, 2016)","plainTextFormattedCitation":"(Rosha, Sari, P, Amaliah and Utami, 2016)","previouslyFormattedCitation":"(Rosha, Sari, P, Amaliah and Utami, 2016)"},"properties":{"noteIndex":0},"schema":"https://github.com/citation-style-language/schema/raw/master/csl-citation.json"}</w:instrText>
      </w:r>
      <w:r w:rsidR="002A67A1">
        <w:rPr>
          <w:sz w:val="20"/>
          <w:szCs w:val="20"/>
        </w:rPr>
        <w:fldChar w:fldCharType="separate"/>
      </w:r>
      <w:r w:rsidR="002A67A1" w:rsidRPr="002A67A1">
        <w:rPr>
          <w:noProof/>
          <w:sz w:val="20"/>
          <w:szCs w:val="20"/>
        </w:rPr>
        <w:t>(Rosha, Sari, P, Amaliah and Utami, 2016)</w:t>
      </w:r>
      <w:r w:rsidR="002A67A1">
        <w:rPr>
          <w:sz w:val="20"/>
          <w:szCs w:val="20"/>
        </w:rPr>
        <w:fldChar w:fldCharType="end"/>
      </w:r>
      <w:r w:rsidR="002A67A1">
        <w:rPr>
          <w:sz w:val="20"/>
          <w:szCs w:val="20"/>
        </w:rPr>
        <w:t>.</w:t>
      </w:r>
    </w:p>
    <w:p w14:paraId="2462B76A" w14:textId="5F128F98" w:rsidR="00D45EEB" w:rsidRPr="00D45EEB" w:rsidRDefault="00D45EEB" w:rsidP="00ED5751">
      <w:pPr>
        <w:ind w:firstLine="567"/>
        <w:contextualSpacing/>
        <w:jc w:val="both"/>
        <w:rPr>
          <w:sz w:val="20"/>
          <w:szCs w:val="20"/>
        </w:rPr>
      </w:pPr>
      <w:r w:rsidRPr="00D45EEB">
        <w:rPr>
          <w:sz w:val="20"/>
          <w:szCs w:val="20"/>
        </w:rPr>
        <w:lastRenderedPageBreak/>
        <w:t xml:space="preserve">Just as in India, there is the ICDS (Integrated Child Development Services Scheme) program, which was established in 1975 due to malnutrition in the fifth highest ranked toddler in the world compared to Africa. Almost all half of infant deaths in India are caused by malnutrition </w:t>
      </w:r>
      <w:r w:rsidRPr="00D45EEB">
        <w:rPr>
          <w:sz w:val="20"/>
          <w:szCs w:val="20"/>
        </w:rPr>
        <w:fldChar w:fldCharType="begin" w:fldLock="1"/>
      </w:r>
      <w:r w:rsidR="002A67A1">
        <w:rPr>
          <w:sz w:val="20"/>
          <w:szCs w:val="20"/>
        </w:rPr>
        <w:instrText>ADDIN CSL_CITATION {"citationItems":[{"id":"ITEM-1","itemData":{"DOI":"10.1177/2158244018785713","ISSN":"21582440","abstract":"The objective of this study is to estimate the impact of Integrated Child Development Services (ICDS) on the institutional delivery and on the nutritional status of children in rural India. Propensity score matching is used to remove selection bias, and then compare the outcome of those who received the ICDS services with those who did not receive. A representative sample of 32,072 women age 15 to 49 years was obtained from the National Family Health Survey-3 (2005-2006). The units of analysis were women who had at least one birth during the 5 years period preceding the survey and the children who were born during this period. In this study, the treatment variable was taken as “during pregnancy, received any nutrition and health education from the ICDS.” The main outcome measures were institutional delivery and the prevalence of undernutrition. After matching, it was found that the among the rural women who received nutrition and health education specifically from the ICDS had 12.3% higher institutional delivery as compared with those who did not receive. However, no positive impact was observed on children’s nutritional status. Thus, for improving the scenario of child nutrition, it is suggested that emphasis be shifted from supplementary feeding to improving environmental hygiene and child feeding practices.","author":[{"dropping-particle":"","family":"Dixit","given":"Priyanka","non-dropping-particle":"","parse-names":false,"suffix":""},{"dropping-particle":"","family":"Gupta","given":"Amrita","non-dropping-particle":"","parse-names":false,"suffix":""},{"dropping-particle":"","family":"Dwivedi","given":"Laxmi Kant","non-dropping-particle":"","parse-names":false,"suffix":""},{"dropping-particle":"","family":"Coomar","given":"Dyuti","non-dropping-particle":"","parse-names":false,"suffix":""}],"container-title":"SAGE Open","id":"ITEM-1","issue":"2","issued":{"date-parts":[["2018"]]},"title":"Impact Evaluation of Integrated Child Development Services in Rural India: Propensity Score Matching Analysis","type":"article-journal","volume":"8"},"uris":["http://www.mendeley.com/documents/?uuid=b7c472ad-a472-495e-b2d8-356c681f1356"]}],"mendeley":{"formattedCitation":"(Dixit, Gupta, Dwivedi and Coomar, 2018)","plainTextFormattedCitation":"(Dixit, Gupta, Dwivedi and Coomar, 2018)","previouslyFormattedCitation":"(Dixit, Gupta, Dwivedi and Coomar, 2018)"},"properties":{"noteIndex":0},"schema":"https://github.com/citation-style-language/schema/raw/master/csl-citation.json"}</w:instrText>
      </w:r>
      <w:r w:rsidRPr="00D45EEB">
        <w:rPr>
          <w:sz w:val="20"/>
          <w:szCs w:val="20"/>
        </w:rPr>
        <w:fldChar w:fldCharType="separate"/>
      </w:r>
      <w:r w:rsidR="002A67A1" w:rsidRPr="002A67A1">
        <w:rPr>
          <w:noProof/>
          <w:sz w:val="20"/>
          <w:szCs w:val="20"/>
        </w:rPr>
        <w:t>(Dixit, Gupta, Dwivedi and Coomar, 2018)</w:t>
      </w:r>
      <w:r w:rsidRPr="00D45EEB">
        <w:rPr>
          <w:sz w:val="20"/>
          <w:szCs w:val="20"/>
        </w:rPr>
        <w:fldChar w:fldCharType="end"/>
      </w:r>
      <w:r w:rsidRPr="00D45EEB">
        <w:rPr>
          <w:sz w:val="20"/>
          <w:szCs w:val="20"/>
        </w:rPr>
        <w:t>.</w:t>
      </w:r>
    </w:p>
    <w:p w14:paraId="35D35B5A" w14:textId="4F6986CB" w:rsidR="00B8229D" w:rsidRPr="00D45EEB" w:rsidRDefault="00D45EEB" w:rsidP="00ED5751">
      <w:pPr>
        <w:widowControl w:val="0"/>
        <w:autoSpaceDE w:val="0"/>
        <w:autoSpaceDN w:val="0"/>
        <w:adjustRightInd w:val="0"/>
        <w:ind w:firstLine="567"/>
        <w:jc w:val="both"/>
        <w:rPr>
          <w:sz w:val="20"/>
          <w:szCs w:val="20"/>
        </w:rPr>
      </w:pPr>
      <w:r w:rsidRPr="00D45EEB">
        <w:rPr>
          <w:sz w:val="20"/>
          <w:szCs w:val="20"/>
        </w:rPr>
        <w:t xml:space="preserve">This program provides counseling to mothers regarding awareness of health risks, especially on the nutritional status of children. </w:t>
      </w:r>
      <w:proofErr w:type="gramStart"/>
      <w:r w:rsidRPr="00D45EEB">
        <w:rPr>
          <w:sz w:val="20"/>
          <w:szCs w:val="20"/>
        </w:rPr>
        <w:t>Emphasizing also in the provision of nutritional supplementation, improvement of environmental hygiene and the practice of feeding children.</w:t>
      </w:r>
      <w:proofErr w:type="gramEnd"/>
      <w:r w:rsidRPr="00D45EEB">
        <w:rPr>
          <w:sz w:val="20"/>
          <w:szCs w:val="20"/>
        </w:rPr>
        <w:t xml:space="preserve"> In toddlers, Below Red Line can be carried out in pharmacological and non-pharmacological handling efforts. So that it is necessary to identify consumption patterns or eating patterns that include type of food, because toddlers who experience Below Red Line, one of which is caused by patterns foster parents are wrong who pay less attention to nutritional intake </w:t>
      </w:r>
      <w:r w:rsidRPr="00D45EEB">
        <w:rPr>
          <w:sz w:val="20"/>
          <w:szCs w:val="20"/>
        </w:rPr>
        <w:fldChar w:fldCharType="begin" w:fldLock="1"/>
      </w:r>
      <w:r w:rsidR="009200D1">
        <w:rPr>
          <w:sz w:val="20"/>
          <w:szCs w:val="20"/>
        </w:rPr>
        <w:instrText>ADDIN CSL_CITATION {"citationItems":[{"id":"ITEM-1","itemData":{"abstract":"Latarbelakang:BGM adalah anak dengan berat badan kurang menurut umur dibandingkan dengan standar yang diketahui secara visual dengan melihat plot dalam KMS berada dibawah garis merah. Batita BGM tidak selalu menderita gizi buruk tapi menjadi indikator awal mengalami masalah gizi. Karena pentingnya penilaian status gizi, maka perlu dilakukan identifikasi pola konsumsi. Penelitian ini betujuan mengidentifikasi jenis makan, jumlah makanan, dan frekuensi makanan batita BGM. Metode: Penelitian ini menggunakan rancangan penelitian studi kasus dengan melakukan pengamatan secara deskriptif observasional pada batita usia 1-3 tahun dengan BGM, dengan cara mengidentifikasi pola makan batita yang mengalami BGM. Subyek penilitian 1 orang yaitu batita “Z” dipilih berdasarkan kriteria inklusi dan eksklusi. Peneliti menilai pola makan batita “Z” selama 1 bulan. Setelah itu membandingkan dengan AKG. Hasil penelitian: Rata-rata dalam 1 hari kebutuhan kalori, protein, lemak dan karbohidrat batita “Z” adalah untuk kalori 571,727 kkal perhari, protein 21,932 gr perhari, lemak 19,291 gr perhari dan karbohidrat 72,903 gr perhari. Sedangkan kebutuhan menurut AKG batita umur 1 tahun membutuhkan kalori 1100 kkal per hari, protein 27,5 gr, lemak 24,4 gr per hari, dan karbohidrat 192,5 gr per hari. Maka batita “Z” dalam pola konsumsinya kurang memenuhi kebutuhan. Diskusi: disarankan bagi ibu selalu memantau keadaan status gizi batita secara rutin dan terjadwal.","author":[{"dropping-particle":"","family":"Safitri","given":"Yeni","non-dropping-particle":"","parse-names":false,"suffix":""},{"dropping-particle":"","family":"Darmaning","given":"Indah","non-dropping-particle":"","parse-names":false,"suffix":""}],"container-title":"Jurnal Hesti Wira Sakti","id":"ITEM-1","issue":"1","issued":{"date-parts":[["2016"]]},"page":"94-100","title":"POLA MAKAN BATITA “Z” DENGAN STATUS GIZI BGM (BAWAH GARIS MERAH) DI PUSKESMAS KETAWANG KABUPATEN MALANG","type":"article-journal","volume":"4"},"uris":["http://www.mendeley.com/documents/?uuid=3fa0ee96-f74d-4323-a203-e96b18f514cd","http://www.mendeley.com/documents/?uuid=b691b5c3-ffb1-459a-8805-f275da30a5fd","http://www.mendeley.com/documents/?uuid=6fe5e9fe-6863-4385-a074-41cb28123e83","http://www.mendeley.com/documents/?uuid=2629f82f-c5dc-4ca9-a0d9-13159f10a37e"]}],"mendeley":{"formattedCitation":"(Safitri and Darmaning, 2016)","plainTextFormattedCitation":"(Safitri and Darmaning, 2016)","previouslyFormattedCitation":"(Safitri and Darmaning, 2016)"},"properties":{"noteIndex":0},"schema":"https://github.com/citation-style-language/schema/raw/master/csl-citation.json"}</w:instrText>
      </w:r>
      <w:r w:rsidRPr="00D45EEB">
        <w:rPr>
          <w:sz w:val="20"/>
          <w:szCs w:val="20"/>
        </w:rPr>
        <w:fldChar w:fldCharType="separate"/>
      </w:r>
      <w:r w:rsidRPr="00D45EEB">
        <w:rPr>
          <w:noProof/>
          <w:sz w:val="20"/>
          <w:szCs w:val="20"/>
        </w:rPr>
        <w:t>(Safitri and Darmaning, 2016)</w:t>
      </w:r>
      <w:r w:rsidRPr="00D45EEB">
        <w:rPr>
          <w:sz w:val="20"/>
          <w:szCs w:val="20"/>
        </w:rPr>
        <w:fldChar w:fldCharType="end"/>
      </w:r>
      <w:r w:rsidRPr="00D45EEB">
        <w:rPr>
          <w:sz w:val="20"/>
          <w:szCs w:val="20"/>
        </w:rPr>
        <w:t>. The intervention has been running to prevent the occurrence of malnutrition as well as the occurrence of malnutrition, but the lack of Public participation in the program so that the program is not going well.</w:t>
      </w:r>
    </w:p>
    <w:p w14:paraId="5333A015" w14:textId="77777777" w:rsidR="0067286B" w:rsidRPr="00D45EEB" w:rsidRDefault="0067286B" w:rsidP="00ED5751">
      <w:pPr>
        <w:widowControl w:val="0"/>
        <w:autoSpaceDE w:val="0"/>
        <w:autoSpaceDN w:val="0"/>
        <w:adjustRightInd w:val="0"/>
        <w:ind w:firstLine="567"/>
        <w:jc w:val="both"/>
        <w:rPr>
          <w:sz w:val="20"/>
          <w:szCs w:val="20"/>
        </w:rPr>
      </w:pPr>
    </w:p>
    <w:p w14:paraId="2073F023" w14:textId="1254A2E5" w:rsidR="00DD19D4" w:rsidRDefault="00B8229D" w:rsidP="00DD19D4">
      <w:pPr>
        <w:widowControl w:val="0"/>
        <w:autoSpaceDE w:val="0"/>
        <w:autoSpaceDN w:val="0"/>
        <w:adjustRightInd w:val="0"/>
        <w:jc w:val="both"/>
        <w:outlineLvl w:val="0"/>
        <w:rPr>
          <w:b/>
          <w:sz w:val="20"/>
          <w:szCs w:val="20"/>
        </w:rPr>
      </w:pPr>
      <w:r w:rsidRPr="00D45EEB">
        <w:rPr>
          <w:b/>
          <w:sz w:val="20"/>
          <w:szCs w:val="20"/>
        </w:rPr>
        <w:t>CONCLUSION</w:t>
      </w:r>
    </w:p>
    <w:p w14:paraId="6F0D5670" w14:textId="77777777" w:rsidR="00ED5751" w:rsidRPr="00D45EEB" w:rsidRDefault="00ED5751" w:rsidP="00DD19D4">
      <w:pPr>
        <w:widowControl w:val="0"/>
        <w:autoSpaceDE w:val="0"/>
        <w:autoSpaceDN w:val="0"/>
        <w:adjustRightInd w:val="0"/>
        <w:jc w:val="both"/>
        <w:outlineLvl w:val="0"/>
        <w:rPr>
          <w:b/>
          <w:sz w:val="20"/>
          <w:szCs w:val="20"/>
        </w:rPr>
      </w:pPr>
    </w:p>
    <w:p w14:paraId="719239AE" w14:textId="14B33DC0" w:rsidR="000650AA" w:rsidRPr="00DC6056" w:rsidRDefault="00DC6056" w:rsidP="00DC6056">
      <w:pPr>
        <w:widowControl w:val="0"/>
        <w:autoSpaceDE w:val="0"/>
        <w:autoSpaceDN w:val="0"/>
        <w:adjustRightInd w:val="0"/>
        <w:ind w:firstLine="567"/>
        <w:jc w:val="both"/>
        <w:rPr>
          <w:sz w:val="20"/>
          <w:szCs w:val="20"/>
        </w:rPr>
      </w:pPr>
      <w:r w:rsidRPr="00DC6056">
        <w:rPr>
          <w:sz w:val="20"/>
          <w:szCs w:val="20"/>
        </w:rPr>
        <w:t xml:space="preserve">Health is inseparable from its relationship with socio-economic conditions, physical environment, behavior and individual lifestyles. This relationship provides a holistic and systemic understanding of health. According to research results from several articles, mother's age, occupation, education and mother's knowledge affect parenting patterns on the nutritional status of their children and the incidence of the Below Red Line, including mother's knowledge that affects the nutritional status of toddlers. The high prevalence of malnutrition is also caused by several factors such as lack of antenatal visits, and lack of understanding of existing programs. So the intervention has not gone well. Characteristics of mothers in the working area of ​​the </w:t>
      </w:r>
      <w:proofErr w:type="spellStart"/>
      <w:r w:rsidRPr="00DC6056">
        <w:rPr>
          <w:sz w:val="20"/>
          <w:szCs w:val="20"/>
        </w:rPr>
        <w:t>Wonokusumo</w:t>
      </w:r>
      <w:proofErr w:type="spellEnd"/>
      <w:r w:rsidRPr="00DC6056">
        <w:rPr>
          <w:sz w:val="20"/>
          <w:szCs w:val="20"/>
        </w:rPr>
        <w:t xml:space="preserve"> Health Center, among others, the age of the mother is 21-30 years, most of the mothers work as IRT, most of the mothers have an elementary school education, and the mother's knowledge about nutritional status is mostly adequate. This study shows that the importance of monitoring the growth and development of toddlers at the </w:t>
      </w:r>
      <w:proofErr w:type="spellStart"/>
      <w:r w:rsidRPr="00DC6056">
        <w:rPr>
          <w:sz w:val="20"/>
          <w:szCs w:val="20"/>
        </w:rPr>
        <w:t>posyandu</w:t>
      </w:r>
      <w:proofErr w:type="spellEnd"/>
      <w:r w:rsidRPr="00DC6056">
        <w:rPr>
          <w:sz w:val="20"/>
          <w:szCs w:val="20"/>
        </w:rPr>
        <w:t xml:space="preserve"> and giving PMT can prevent the occurrence of BGM for toddlers, because the Supplementary Feeding (PMT) given to malnourished toddlers aims to provide high intakes, high protein and sufficient vitamins and minerals. </w:t>
      </w:r>
      <w:proofErr w:type="gramStart"/>
      <w:r w:rsidRPr="00DC6056">
        <w:rPr>
          <w:sz w:val="20"/>
          <w:szCs w:val="20"/>
        </w:rPr>
        <w:t>gradually</w:t>
      </w:r>
      <w:proofErr w:type="gramEnd"/>
      <w:r w:rsidRPr="00DC6056">
        <w:rPr>
          <w:sz w:val="20"/>
          <w:szCs w:val="20"/>
        </w:rPr>
        <w:t>, in order to achieve optimal nutritional status and balanced nutrition.</w:t>
      </w:r>
    </w:p>
    <w:p w14:paraId="5ECEA5EF" w14:textId="77777777" w:rsidR="00DC6056" w:rsidRDefault="00DC6056" w:rsidP="00DD19D4">
      <w:pPr>
        <w:jc w:val="both"/>
        <w:rPr>
          <w:b/>
          <w:i/>
          <w:sz w:val="20"/>
          <w:szCs w:val="20"/>
        </w:rPr>
      </w:pPr>
    </w:p>
    <w:p w14:paraId="4414CA35" w14:textId="3D47EB13" w:rsidR="0009466E" w:rsidRDefault="0010291D" w:rsidP="00DD19D4">
      <w:pPr>
        <w:jc w:val="both"/>
        <w:rPr>
          <w:b/>
          <w:i/>
          <w:sz w:val="20"/>
          <w:szCs w:val="20"/>
        </w:rPr>
      </w:pPr>
      <w:r w:rsidRPr="00F50129">
        <w:rPr>
          <w:b/>
          <w:i/>
          <w:sz w:val="20"/>
          <w:szCs w:val="20"/>
        </w:rPr>
        <w:t>ACKNOWLEDGEMENT</w:t>
      </w:r>
    </w:p>
    <w:p w14:paraId="03BC6F7A" w14:textId="77777777" w:rsidR="00ED5751" w:rsidRPr="00F50129" w:rsidRDefault="00ED5751" w:rsidP="00DD19D4">
      <w:pPr>
        <w:jc w:val="both"/>
        <w:rPr>
          <w:b/>
          <w:i/>
          <w:sz w:val="20"/>
          <w:szCs w:val="20"/>
        </w:rPr>
      </w:pPr>
    </w:p>
    <w:p w14:paraId="6CD47D01" w14:textId="77777777" w:rsidR="00986067" w:rsidRDefault="00A7178E" w:rsidP="00ED5751">
      <w:pPr>
        <w:autoSpaceDE w:val="0"/>
        <w:autoSpaceDN w:val="0"/>
        <w:adjustRightInd w:val="0"/>
        <w:ind w:firstLine="567"/>
        <w:jc w:val="both"/>
        <w:rPr>
          <w:sz w:val="20"/>
          <w:szCs w:val="20"/>
        </w:rPr>
      </w:pPr>
      <w:r w:rsidRPr="00A7178E">
        <w:rPr>
          <w:sz w:val="20"/>
          <w:szCs w:val="20"/>
        </w:rPr>
        <w:t xml:space="preserve">Thanks are addressed to the </w:t>
      </w:r>
      <w:proofErr w:type="spellStart"/>
      <w:r w:rsidRPr="00A7178E">
        <w:rPr>
          <w:sz w:val="20"/>
          <w:szCs w:val="20"/>
        </w:rPr>
        <w:t>Wonokusumo</w:t>
      </w:r>
      <w:proofErr w:type="spellEnd"/>
      <w:r w:rsidRPr="00A7178E">
        <w:rPr>
          <w:sz w:val="20"/>
          <w:szCs w:val="20"/>
        </w:rPr>
        <w:t xml:space="preserve"> Community Health Center for allowing this research to be conducted in the </w:t>
      </w:r>
      <w:proofErr w:type="spellStart"/>
      <w:r w:rsidRPr="00A7178E">
        <w:rPr>
          <w:sz w:val="20"/>
          <w:szCs w:val="20"/>
        </w:rPr>
        <w:t>Wonokusumo</w:t>
      </w:r>
      <w:proofErr w:type="spellEnd"/>
      <w:r w:rsidRPr="00A7178E">
        <w:rPr>
          <w:sz w:val="20"/>
          <w:szCs w:val="20"/>
        </w:rPr>
        <w:t xml:space="preserve"> Health Center working area.</w:t>
      </w:r>
    </w:p>
    <w:p w14:paraId="1F9C589D" w14:textId="77777777" w:rsidR="00B814C9" w:rsidRDefault="00B814C9" w:rsidP="00ED5751">
      <w:pPr>
        <w:autoSpaceDE w:val="0"/>
        <w:autoSpaceDN w:val="0"/>
        <w:adjustRightInd w:val="0"/>
        <w:ind w:firstLine="567"/>
        <w:jc w:val="both"/>
        <w:rPr>
          <w:sz w:val="20"/>
          <w:szCs w:val="20"/>
          <w:lang w:val="id-ID"/>
        </w:rPr>
      </w:pPr>
    </w:p>
    <w:p w14:paraId="245DEA7A" w14:textId="44A5CF5F" w:rsidR="00B97159" w:rsidRDefault="00DC6056" w:rsidP="00426D07">
      <w:pPr>
        <w:widowControl w:val="0"/>
        <w:autoSpaceDE w:val="0"/>
        <w:autoSpaceDN w:val="0"/>
        <w:adjustRightInd w:val="0"/>
        <w:jc w:val="both"/>
        <w:outlineLvl w:val="0"/>
        <w:rPr>
          <w:b/>
          <w:sz w:val="20"/>
          <w:szCs w:val="20"/>
        </w:rPr>
      </w:pPr>
      <w:r>
        <w:rPr>
          <w:b/>
          <w:sz w:val="20"/>
          <w:szCs w:val="20"/>
        </w:rPr>
        <w:t>REFERENCE</w:t>
      </w:r>
    </w:p>
    <w:p w14:paraId="492AA302" w14:textId="77777777" w:rsidR="00ED5751" w:rsidRPr="00426D07" w:rsidRDefault="00ED5751" w:rsidP="00426D07">
      <w:pPr>
        <w:widowControl w:val="0"/>
        <w:autoSpaceDE w:val="0"/>
        <w:autoSpaceDN w:val="0"/>
        <w:adjustRightInd w:val="0"/>
        <w:jc w:val="both"/>
        <w:outlineLvl w:val="0"/>
        <w:rPr>
          <w:b/>
          <w:sz w:val="20"/>
          <w:szCs w:val="20"/>
        </w:rPr>
      </w:pPr>
    </w:p>
    <w:bookmarkStart w:id="20" w:name="_GoBack"/>
    <w:p w14:paraId="1A090B1D" w14:textId="7B2BDD4E" w:rsidR="002A67A1" w:rsidRPr="002A67A1" w:rsidRDefault="002A67A1" w:rsidP="00B85BD9">
      <w:pPr>
        <w:pStyle w:val="ListParagraph"/>
        <w:widowControl w:val="0"/>
        <w:autoSpaceDE w:val="0"/>
        <w:autoSpaceDN w:val="0"/>
        <w:adjustRightInd w:val="0"/>
        <w:ind w:left="567" w:hanging="567"/>
        <w:rPr>
          <w:noProof/>
          <w:sz w:val="20"/>
        </w:rPr>
      </w:pPr>
      <w:r>
        <w:rPr>
          <w:sz w:val="20"/>
          <w:szCs w:val="20"/>
        </w:rPr>
        <w:fldChar w:fldCharType="begin" w:fldLock="1"/>
      </w:r>
      <w:r w:rsidRPr="002A67A1">
        <w:rPr>
          <w:sz w:val="20"/>
          <w:szCs w:val="20"/>
        </w:rPr>
        <w:instrText xml:space="preserve">ADDIN Mendeley Bibliography CSL_BIBLIOGRAPHY </w:instrText>
      </w:r>
      <w:r>
        <w:rPr>
          <w:sz w:val="20"/>
          <w:szCs w:val="20"/>
        </w:rPr>
        <w:fldChar w:fldCharType="separate"/>
      </w:r>
      <w:r w:rsidRPr="002A67A1">
        <w:rPr>
          <w:noProof/>
          <w:sz w:val="20"/>
        </w:rPr>
        <w:t xml:space="preserve">Ahmad, M. and Rifqi, M. A. (2019) ‘Pie Substitusi Tepung Biskuit MP-ASI Kemenkes dan Isolat Protein Kedelai Sebagai Alternatif Pencegahan KEP Pada Anak Usia 12-24 Bulan’, </w:t>
      </w:r>
      <w:r w:rsidRPr="002A67A1">
        <w:rPr>
          <w:i/>
          <w:iCs/>
          <w:noProof/>
          <w:sz w:val="20"/>
        </w:rPr>
        <w:t>Amerta Nutrition</w:t>
      </w:r>
      <w:r w:rsidRPr="002A67A1">
        <w:rPr>
          <w:noProof/>
          <w:sz w:val="20"/>
        </w:rPr>
        <w:t>, 3(4), p. 284. doi: 10.20473/amnt.v3i4.2019.284-290.</w:t>
      </w:r>
    </w:p>
    <w:p w14:paraId="67FC29F4"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Dinkes Kota Surabaya (2015) </w:t>
      </w:r>
      <w:r w:rsidRPr="002A67A1">
        <w:rPr>
          <w:i/>
          <w:iCs/>
          <w:noProof/>
          <w:sz w:val="20"/>
        </w:rPr>
        <w:t>Profil Kesehatan Kota Surabaya</w:t>
      </w:r>
      <w:r w:rsidRPr="002A67A1">
        <w:rPr>
          <w:noProof/>
          <w:sz w:val="20"/>
        </w:rPr>
        <w:t>. Surabaya: Profil Kesehatan Kota Surabaya.</w:t>
      </w:r>
    </w:p>
    <w:p w14:paraId="4FE26E59"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Dinkes Kota Surabaya (2016a) ‘Profil kesehatan Dinkes Kota Surabaya’, p. 194. Available at: http://www.depkes.go.id/resources/download/profil/PROFIL_KAB_KOTA_2016/3578_Jatim_Kota_Surabaya_2016.pdf.</w:t>
      </w:r>
    </w:p>
    <w:p w14:paraId="3CB03E13"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Dinkes Kota Surabaya (2016b) </w:t>
      </w:r>
      <w:r w:rsidRPr="002A67A1">
        <w:rPr>
          <w:i/>
          <w:iCs/>
          <w:noProof/>
          <w:sz w:val="20"/>
        </w:rPr>
        <w:t>Rencana Strategis Tahun 2016-2021</w:t>
      </w:r>
      <w:r w:rsidRPr="002A67A1">
        <w:rPr>
          <w:noProof/>
          <w:sz w:val="20"/>
        </w:rPr>
        <w:t>.</w:t>
      </w:r>
    </w:p>
    <w:p w14:paraId="504A2E67"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Dinkes Kota Surabaya (2017) </w:t>
      </w:r>
      <w:r w:rsidRPr="002A67A1">
        <w:rPr>
          <w:i/>
          <w:iCs/>
          <w:noProof/>
          <w:sz w:val="20"/>
        </w:rPr>
        <w:t>Profil Kesehatan Kota Surabaya</w:t>
      </w:r>
      <w:r w:rsidRPr="002A67A1">
        <w:rPr>
          <w:noProof/>
          <w:sz w:val="20"/>
        </w:rPr>
        <w:t>.</w:t>
      </w:r>
    </w:p>
    <w:p w14:paraId="48E2F48B"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Dixit, P., Gupta, A., Dwivedi, L. K. and Coomar, D. (2018) ‘Impact Evaluation of Integrated Child Development Services in Rural India: Propensity Score Matching Analysis’, </w:t>
      </w:r>
      <w:r w:rsidRPr="002A67A1">
        <w:rPr>
          <w:i/>
          <w:iCs/>
          <w:noProof/>
          <w:sz w:val="20"/>
        </w:rPr>
        <w:t>SAGE Open</w:t>
      </w:r>
      <w:r w:rsidRPr="002A67A1">
        <w:rPr>
          <w:noProof/>
          <w:sz w:val="20"/>
        </w:rPr>
        <w:t>, 8(2). doi: 10.1177/2158244018785713.</w:t>
      </w:r>
    </w:p>
    <w:p w14:paraId="45CC4B24"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Fitriani, N. (2018a) ‘Hubungan Kunjungan Ibu ke Posyandu dengan Jumlah Balita Bawah Garis Merah ( BGM ) di Desa Tente Kecamatan Woha Kabupaten Bima Correlation between Mother ’ s Activeness Integrated With Health Service Number Reduction of Toddler Below The Red Line ( BGM ) I’, </w:t>
      </w:r>
      <w:r w:rsidRPr="002A67A1">
        <w:rPr>
          <w:i/>
          <w:iCs/>
          <w:noProof/>
          <w:sz w:val="20"/>
        </w:rPr>
        <w:t>Jurnal Studi Keislaman dan Ilmu Pendidikan</w:t>
      </w:r>
      <w:r w:rsidRPr="002A67A1">
        <w:rPr>
          <w:noProof/>
          <w:sz w:val="20"/>
        </w:rPr>
        <w:t>, 6(1), pp. 70–80.</w:t>
      </w:r>
    </w:p>
    <w:p w14:paraId="496B8B54"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Fitriani, N. (2018b) ‘Hubungan Kunjungan Ibu ke Posyandu dengan Jumlah Balita Bawah Garis Merah (BGM) di Desa Tente Kecamatan Woha Kabupaten Bima’, </w:t>
      </w:r>
      <w:r w:rsidRPr="002A67A1">
        <w:rPr>
          <w:i/>
          <w:iCs/>
          <w:noProof/>
          <w:sz w:val="20"/>
        </w:rPr>
        <w:t>Palapa: Jurnal Studi Keislaman dan Ilmu Pendidikan</w:t>
      </w:r>
      <w:r w:rsidRPr="002A67A1">
        <w:rPr>
          <w:noProof/>
          <w:sz w:val="20"/>
        </w:rPr>
        <w:t>, 6(1), pp. 69–80. doi: 10.36088/palapa.v6i1.59.</w:t>
      </w:r>
    </w:p>
    <w:p w14:paraId="3DCCFAE5"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Glanz, K., Rimer, B. K. K. V. (2018) </w:t>
      </w:r>
      <w:r w:rsidRPr="002A67A1">
        <w:rPr>
          <w:i/>
          <w:iCs/>
          <w:noProof/>
          <w:sz w:val="20"/>
        </w:rPr>
        <w:t>Health and Health</w:t>
      </w:r>
      <w:r w:rsidRPr="002A67A1">
        <w:rPr>
          <w:noProof/>
          <w:sz w:val="20"/>
        </w:rPr>
        <w:t>. Available at: doi: http://hdl.handle.net/2027/spo.10381607.0007.102.</w:t>
      </w:r>
    </w:p>
    <w:p w14:paraId="7BC1F3D0"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Handayani, R. (2018) ‘Faktor-Faktor Yang Berhubungan Dengan Status Gizi Balita’, </w:t>
      </w:r>
      <w:r w:rsidRPr="002A67A1">
        <w:rPr>
          <w:i/>
          <w:iCs/>
          <w:noProof/>
          <w:sz w:val="20"/>
        </w:rPr>
        <w:t>Jurnal Media Kesehatan</w:t>
      </w:r>
      <w:r w:rsidRPr="002A67A1">
        <w:rPr>
          <w:noProof/>
          <w:sz w:val="20"/>
        </w:rPr>
        <w:t>, 8(2), pp. 190–197. doi: 10.33088/jmk.v8i2.283.</w:t>
      </w:r>
    </w:p>
    <w:p w14:paraId="5AB35D7C"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Hayati, M., Sudiana, I., K. (2014) ‘Analisis Faktor Orang Tua yang Berhubungan dengan Status Gizi Balita </w:t>
      </w:r>
      <w:r w:rsidRPr="002A67A1">
        <w:rPr>
          <w:noProof/>
          <w:sz w:val="20"/>
        </w:rPr>
        <w:lastRenderedPageBreak/>
        <w:t xml:space="preserve">Pendekatan Teori Health Belief Model’, </w:t>
      </w:r>
      <w:r w:rsidRPr="002A67A1">
        <w:rPr>
          <w:i/>
          <w:iCs/>
          <w:noProof/>
          <w:sz w:val="20"/>
        </w:rPr>
        <w:t>Pediomaternal Nursing Journal</w:t>
      </w:r>
      <w:r w:rsidRPr="002A67A1">
        <w:rPr>
          <w:noProof/>
          <w:sz w:val="20"/>
        </w:rPr>
        <w:t>, Vol 2, No, pp. 69–73.</w:t>
      </w:r>
    </w:p>
    <w:p w14:paraId="2E163FAE" w14:textId="60771FBF"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Inayah, M. and Hartono, M. (2016) ‘Pengaruh Pemberian Makanan Tambahan Dan Stimulasi Terhadap Pertumbuhan Dan Perkembangan Balita BGM Usia 1-2 Tahun’, 02(01), pp. 61–70.</w:t>
      </w:r>
    </w:p>
    <w:p w14:paraId="2695C3B0"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Iskandar, I. (2017) ‘Pengaruh Pemberian Makanan Tambahan Modifikasi Terhadap Status Gizi Balita’, </w:t>
      </w:r>
      <w:r w:rsidRPr="002A67A1">
        <w:rPr>
          <w:i/>
          <w:iCs/>
          <w:noProof/>
          <w:sz w:val="20"/>
        </w:rPr>
        <w:t>AcTion: Aceh Nutrition Journal</w:t>
      </w:r>
      <w:r w:rsidRPr="002A67A1">
        <w:rPr>
          <w:noProof/>
          <w:sz w:val="20"/>
        </w:rPr>
        <w:t>, 2(2), p. 120. doi: 10.30867/action.v2i2.65.</w:t>
      </w:r>
    </w:p>
    <w:p w14:paraId="5A8109BB" w14:textId="05228545"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Istiany, A. and Rusilanty (2014) </w:t>
      </w:r>
      <w:r w:rsidRPr="002A67A1">
        <w:rPr>
          <w:i/>
          <w:iCs/>
          <w:noProof/>
          <w:sz w:val="20"/>
        </w:rPr>
        <w:t>Gizi Terapan</w:t>
      </w:r>
      <w:r w:rsidRPr="002A67A1">
        <w:rPr>
          <w:noProof/>
          <w:sz w:val="20"/>
        </w:rPr>
        <w:t xml:space="preserve">, </w:t>
      </w:r>
      <w:r w:rsidRPr="002A67A1">
        <w:rPr>
          <w:i/>
          <w:iCs/>
          <w:noProof/>
          <w:sz w:val="20"/>
        </w:rPr>
        <w:t>Buku Ajar Ilmu Gizi</w:t>
      </w:r>
      <w:r w:rsidRPr="002A67A1">
        <w:rPr>
          <w:noProof/>
          <w:sz w:val="20"/>
        </w:rPr>
        <w:t>. Bandung: PT. Remaja Rosdakarya.</w:t>
      </w:r>
    </w:p>
    <w:p w14:paraId="235F4020"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Kemenkes RI (2010) ‘Penggunaan Kartu Menuju Sehat (KMS) Bagi Balita’, 23(7), pp. 22–23. doi: 10.1108/ijhcqa.2010.06223gab.001.</w:t>
      </w:r>
    </w:p>
    <w:p w14:paraId="182BC266"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Kemenkes RI, 2018 (2018) </w:t>
      </w:r>
      <w:r w:rsidRPr="002A67A1">
        <w:rPr>
          <w:i/>
          <w:iCs/>
          <w:noProof/>
          <w:sz w:val="20"/>
        </w:rPr>
        <w:t>Profile Kesehatan Indonesia Tahun 2017</w:t>
      </w:r>
      <w:r w:rsidRPr="002A67A1">
        <w:rPr>
          <w:noProof/>
          <w:sz w:val="20"/>
        </w:rPr>
        <w:t xml:space="preserve">, </w:t>
      </w:r>
      <w:r w:rsidRPr="002A67A1">
        <w:rPr>
          <w:i/>
          <w:iCs/>
          <w:noProof/>
          <w:sz w:val="20"/>
        </w:rPr>
        <w:t>Ministry of Health Indonesia</w:t>
      </w:r>
      <w:r w:rsidRPr="002A67A1">
        <w:rPr>
          <w:noProof/>
          <w:sz w:val="20"/>
        </w:rPr>
        <w:t>. doi: 10.1002/qj.</w:t>
      </w:r>
    </w:p>
    <w:p w14:paraId="61CD946D"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Kementerian Kesehatan RI (2018) ‘Laporan Riskesdas 2018’, </w:t>
      </w:r>
      <w:r w:rsidRPr="002A67A1">
        <w:rPr>
          <w:i/>
          <w:iCs/>
          <w:noProof/>
          <w:sz w:val="20"/>
        </w:rPr>
        <w:t>Laporan Nasional Riskesdas 2018</w:t>
      </w:r>
      <w:r w:rsidRPr="002A67A1">
        <w:rPr>
          <w:noProof/>
          <w:sz w:val="20"/>
        </w:rPr>
        <w:t>, 53(9), pp. 154–165. Available at: http://www.yankes.kemkes.go.id/assets/downloads/PMK No. 57 Tahun 2013 tentang PTRM.pdf.</w:t>
      </w:r>
    </w:p>
    <w:p w14:paraId="26C3FD7B"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Larasati, M. D. (2019) ‘Status Gizi Balita BGM Berdasarkan Karakteristik Ibu Di Wilayah Kerja Kecamatan Sawah Besar Tahun 2018’, </w:t>
      </w:r>
      <w:r w:rsidRPr="002A67A1">
        <w:rPr>
          <w:i/>
          <w:iCs/>
          <w:noProof/>
          <w:sz w:val="20"/>
        </w:rPr>
        <w:t>Jurnal JKFT: Universitas Muhamadiyah Tangerang</w:t>
      </w:r>
      <w:r w:rsidRPr="002A67A1">
        <w:rPr>
          <w:noProof/>
          <w:sz w:val="20"/>
        </w:rPr>
        <w:t>, 4(1), pp. 77–89. Available at: http://jurnal.umt.ac.id/index.php/jkft/article/view/2022.</w:t>
      </w:r>
    </w:p>
    <w:p w14:paraId="47E01008"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Laurentia, L. M., Setiawati, E. P., Somasetia, D. H. and Hilmanto, D. (2016) ‘Gambaran Pelayanan Terintegrasi dan Komprehensif pada Balita Bawah Garis Merah di Puskesmas Soreang Illustration of Integrated and Comprehensive Health Services for Under’, 2, pp. 192–199.</w:t>
      </w:r>
    </w:p>
    <w:p w14:paraId="79D3CD28" w14:textId="7563A240"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Lisang, A. G. (2017) ‘Implementasi Program Penanggulangan Gizi Buruk Pada Anak Bawah Lima Tahun Pada Dinas Kesehatan’, </w:t>
      </w:r>
      <w:r w:rsidRPr="002A67A1">
        <w:rPr>
          <w:i/>
          <w:iCs/>
          <w:noProof/>
          <w:sz w:val="20"/>
        </w:rPr>
        <w:t>e Jurnal Katalogis</w:t>
      </w:r>
      <w:r w:rsidRPr="002A67A1">
        <w:rPr>
          <w:noProof/>
          <w:sz w:val="20"/>
        </w:rPr>
        <w:t>, 5(2), pp. 14–25.</w:t>
      </w:r>
    </w:p>
    <w:p w14:paraId="4D7277F5"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Masturoh, Imas., T. Nauri, A. (2018) </w:t>
      </w:r>
      <w:r w:rsidRPr="002A67A1">
        <w:rPr>
          <w:i/>
          <w:iCs/>
          <w:noProof/>
          <w:sz w:val="20"/>
        </w:rPr>
        <w:t>Metodologi Penelitian Kesehatan</w:t>
      </w:r>
      <w:r w:rsidRPr="002A67A1">
        <w:rPr>
          <w:noProof/>
          <w:sz w:val="20"/>
        </w:rPr>
        <w:t>.</w:t>
      </w:r>
    </w:p>
    <w:p w14:paraId="3B70D895"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Pemerintah Kota and Surabaya (2021) ‘Pemerintah Kota Surabaya Rencana Strategis ( Renstra ) Tahun 2016-2021’.</w:t>
      </w:r>
    </w:p>
    <w:p w14:paraId="73319927" w14:textId="1EB62069"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Purnama Sari, D., Laenggeng, A. H. and Tasya, Z. (2016) ‘Hubungan Tingkat Pengetahuan Ibu Dan Status Ekonomi Keluarga Dengan Kejadian Anak Balita Bawah Garis Merah (Bgm) Di Wilayah Kerja Puskesmas Nokilalaki’.</w:t>
      </w:r>
    </w:p>
    <w:p w14:paraId="50CD62E1"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Puspasari, N. and Andriani, M. (2017) ‘Hubungan Pengetahuan Ibu tentang Gizi dan Asupan Makan Balita dengan Status Gizi Balita ( BB / U ) Usia 12-24 Bulan Association Mother ’ s Nutrition Knowledge and Toddler ’ s Nutrition Intake with Toddler ’ s Nutritional Status ( WAZ ) at the Age 12 -24 M’, </w:t>
      </w:r>
      <w:r w:rsidRPr="002A67A1">
        <w:rPr>
          <w:i/>
          <w:iCs/>
          <w:noProof/>
          <w:sz w:val="20"/>
        </w:rPr>
        <w:t>Amerta Nutr</w:t>
      </w:r>
      <w:r w:rsidRPr="002A67A1">
        <w:rPr>
          <w:noProof/>
          <w:sz w:val="20"/>
        </w:rPr>
        <w:t>, 3(2), pp. 369–378. doi: 10.20473/amnt.v1.i4.2017.369-378.</w:t>
      </w:r>
    </w:p>
    <w:p w14:paraId="7257395D"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Rachmayanti, R. D. (2017) ‘Pengenalan Program Kadarzi Di Kelurahan’, (2018), pp. 176–182. doi: 10.20473/mgi.v13i2.176.</w:t>
      </w:r>
    </w:p>
    <w:p w14:paraId="174086A5"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Rahma, A. C. and Nadhiroh, S. R. (2017) ‘Perbedaan Sosial Ekonomi Dan Pengetahuan Gizi Ibu Balita Gizi Kurang Dan Gizi Normal’, </w:t>
      </w:r>
      <w:r w:rsidRPr="002A67A1">
        <w:rPr>
          <w:i/>
          <w:iCs/>
          <w:noProof/>
          <w:sz w:val="20"/>
        </w:rPr>
        <w:t>Media Gizi Indonesia</w:t>
      </w:r>
      <w:r w:rsidRPr="002A67A1">
        <w:rPr>
          <w:noProof/>
          <w:sz w:val="20"/>
        </w:rPr>
        <w:t>, 11(1), p. 55. doi: 10.20473/mgi.v11i1.55-60.</w:t>
      </w:r>
    </w:p>
    <w:p w14:paraId="217A23F6"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Rahmatillah, D. K. (2018) ‘Hubungan Pengetahuan Sikap dan Tindakan terhadap Status Gizi’, </w:t>
      </w:r>
      <w:r w:rsidRPr="002A67A1">
        <w:rPr>
          <w:i/>
          <w:iCs/>
          <w:noProof/>
          <w:sz w:val="20"/>
        </w:rPr>
        <w:t>Amerta Nutrition</w:t>
      </w:r>
      <w:r w:rsidRPr="002A67A1">
        <w:rPr>
          <w:noProof/>
          <w:sz w:val="20"/>
        </w:rPr>
        <w:t>, p. 106. doi: 10.20473/amnt.v2i1.2018.106-112.</w:t>
      </w:r>
    </w:p>
    <w:p w14:paraId="65C25ACC"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Rizky, A., Hernawan, A. and Budiastutik, I. (2015) ‘Correlation of eating pattern, exclusive breastfeeding, accinnation, health check routineness and the incidence of underweight children at work area of puskesmas simpang empat kayu lapis sekadau’, pp. 22–29.</w:t>
      </w:r>
    </w:p>
    <w:p w14:paraId="6C223A6B"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Rosha, B. C., Sari, K., P, I. Y. S., Amaliah, N. and Utami, N. (2016) ‘Peran Intervensi Gizi Spesifik dan Sensitif dalam Perbaikan Masalah Gizi Balita di Kota Bogor’, </w:t>
      </w:r>
      <w:r w:rsidRPr="002A67A1">
        <w:rPr>
          <w:i/>
          <w:iCs/>
          <w:noProof/>
          <w:sz w:val="20"/>
        </w:rPr>
        <w:t>Buletin Penelitian Kesehatan</w:t>
      </w:r>
      <w:r w:rsidRPr="002A67A1">
        <w:rPr>
          <w:noProof/>
          <w:sz w:val="20"/>
        </w:rPr>
        <w:t>, 44(2), pp. 127–138. doi: 10.22435/bpk.v44i2.5456.127-138.</w:t>
      </w:r>
    </w:p>
    <w:p w14:paraId="782813CD" w14:textId="7524F893"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Safitri, Yeni Agus dan Indah, P. D. (2016) ‘Pola Makan Battita “Z” Dengan Status Gizi BGM (Bawah Garis Merah) Di Puskesmas Ketawang Kabupaten Malang’, </w:t>
      </w:r>
      <w:r w:rsidRPr="002A67A1">
        <w:rPr>
          <w:i/>
          <w:iCs/>
          <w:noProof/>
          <w:sz w:val="20"/>
        </w:rPr>
        <w:t>Hesrti Wira Sakti</w:t>
      </w:r>
      <w:r w:rsidRPr="002A67A1">
        <w:rPr>
          <w:noProof/>
          <w:sz w:val="20"/>
        </w:rPr>
        <w:t>, 4(1), pp. 94–100. Available at: https://ww</w:t>
      </w:r>
      <w:r w:rsidR="004C73C2">
        <w:rPr>
          <w:noProof/>
          <w:sz w:val="20"/>
        </w:rPr>
        <w:t>w.semanticscholar.org/paper/Pola-Makan-Batita</w:t>
      </w:r>
      <w:r w:rsidRPr="002A67A1">
        <w:rPr>
          <w:noProof/>
          <w:sz w:val="20"/>
        </w:rPr>
        <w:t>.</w:t>
      </w:r>
    </w:p>
    <w:p w14:paraId="348CA61F" w14:textId="51A1AD10"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Safitri, Y. and Darmaning, I. (2016) ‘Pola Makan Batita “Z” Dengan Status Gizi Bgm (Bawah Garis Merah) Di Puskesmas Ketawang Kabupaten Malang’, </w:t>
      </w:r>
      <w:r w:rsidRPr="002A67A1">
        <w:rPr>
          <w:i/>
          <w:iCs/>
          <w:noProof/>
          <w:sz w:val="20"/>
        </w:rPr>
        <w:t>Jurnal Hesti Wira Sakti</w:t>
      </w:r>
      <w:r w:rsidRPr="002A67A1">
        <w:rPr>
          <w:noProof/>
          <w:sz w:val="20"/>
        </w:rPr>
        <w:t>, 4(1), pp. 94–100.</w:t>
      </w:r>
    </w:p>
    <w:p w14:paraId="12CDB67A" w14:textId="77777777" w:rsidR="002A67A1" w:rsidRPr="002A67A1" w:rsidRDefault="002A67A1" w:rsidP="00B85BD9">
      <w:pPr>
        <w:pStyle w:val="ListParagraph"/>
        <w:widowControl w:val="0"/>
        <w:autoSpaceDE w:val="0"/>
        <w:autoSpaceDN w:val="0"/>
        <w:adjustRightInd w:val="0"/>
        <w:ind w:left="567" w:hanging="567"/>
        <w:rPr>
          <w:noProof/>
          <w:sz w:val="20"/>
        </w:rPr>
      </w:pPr>
      <w:r w:rsidRPr="002A67A1">
        <w:rPr>
          <w:noProof/>
          <w:sz w:val="20"/>
        </w:rPr>
        <w:t xml:space="preserve">Tanjung, I. C. D., Rohmawati, L. and Sofyani, S. (2017) ‘Cakupan Imunisasi Dasar Lengkap dan Faktor yang Memengaruhi’, </w:t>
      </w:r>
      <w:r w:rsidRPr="002A67A1">
        <w:rPr>
          <w:i/>
          <w:iCs/>
          <w:noProof/>
          <w:sz w:val="20"/>
        </w:rPr>
        <w:t>Sari Pediatri</w:t>
      </w:r>
      <w:r w:rsidRPr="002A67A1">
        <w:rPr>
          <w:noProof/>
          <w:sz w:val="20"/>
        </w:rPr>
        <w:t>, 19(2), p. 86. doi: 10.14238/sp19.2.2017.86-90.</w:t>
      </w:r>
    </w:p>
    <w:p w14:paraId="6048D92E" w14:textId="0D9F28EE" w:rsidR="00B97159" w:rsidRDefault="002A67A1" w:rsidP="00B85BD9">
      <w:pPr>
        <w:widowControl w:val="0"/>
        <w:autoSpaceDE w:val="0"/>
        <w:autoSpaceDN w:val="0"/>
        <w:adjustRightInd w:val="0"/>
        <w:ind w:left="567" w:hanging="567"/>
        <w:rPr>
          <w:sz w:val="20"/>
          <w:szCs w:val="20"/>
        </w:rPr>
      </w:pPr>
      <w:r>
        <w:rPr>
          <w:sz w:val="20"/>
          <w:szCs w:val="20"/>
        </w:rPr>
        <w:fldChar w:fldCharType="end"/>
      </w:r>
    </w:p>
    <w:bookmarkEnd w:id="20"/>
    <w:p w14:paraId="12806758" w14:textId="2AA0FA99" w:rsidR="00D45EEB" w:rsidRDefault="00D45EEB" w:rsidP="00B85BD9">
      <w:pPr>
        <w:widowControl w:val="0"/>
        <w:autoSpaceDE w:val="0"/>
        <w:autoSpaceDN w:val="0"/>
        <w:adjustRightInd w:val="0"/>
        <w:ind w:left="567" w:hanging="567"/>
        <w:rPr>
          <w:sz w:val="20"/>
          <w:szCs w:val="20"/>
        </w:rPr>
      </w:pPr>
    </w:p>
    <w:sectPr w:rsidR="00D45EEB" w:rsidSect="00ED5751">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55"/>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13D30" w14:textId="77777777" w:rsidR="00447C93" w:rsidRDefault="00447C93">
      <w:r>
        <w:separator/>
      </w:r>
    </w:p>
  </w:endnote>
  <w:endnote w:type="continuationSeparator" w:id="0">
    <w:p w14:paraId="1D6BFF3B" w14:textId="77777777" w:rsidR="00447C93" w:rsidRDefault="0044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426D07" w:rsidRDefault="00426D07"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426D07" w:rsidRDefault="00426D07"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2830F" w14:textId="77777777" w:rsidR="00447C93" w:rsidRDefault="00447C93">
      <w:r>
        <w:separator/>
      </w:r>
    </w:p>
  </w:footnote>
  <w:footnote w:type="continuationSeparator" w:id="0">
    <w:p w14:paraId="1532618A" w14:textId="77777777" w:rsidR="00447C93" w:rsidRDefault="0044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1D57C558" w14:textId="6E79CFD9" w:rsidR="00ED5751" w:rsidRDefault="00ED5751" w:rsidP="00ED5751">
        <w:pPr>
          <w:pStyle w:val="Header"/>
          <w:ind w:left="360" w:firstLine="4320"/>
        </w:pPr>
        <w:proofErr w:type="spellStart"/>
        <w:r>
          <w:rPr>
            <w:sz w:val="20"/>
          </w:rPr>
          <w:t>Widyanti</w:t>
        </w:r>
        <w:proofErr w:type="spellEnd"/>
        <w:r>
          <w:rPr>
            <w:sz w:val="20"/>
          </w:rPr>
          <w:t xml:space="preserve">, </w:t>
        </w:r>
        <w:proofErr w:type="spellStart"/>
        <w:r>
          <w:rPr>
            <w:sz w:val="20"/>
          </w:rPr>
          <w:t>dan</w:t>
        </w:r>
        <w:proofErr w:type="spellEnd"/>
        <w:r>
          <w:rPr>
            <w:sz w:val="20"/>
          </w:rPr>
          <w:t xml:space="preserve"> </w:t>
        </w:r>
        <w:proofErr w:type="spellStart"/>
        <w:proofErr w:type="gramStart"/>
        <w:r>
          <w:rPr>
            <w:sz w:val="20"/>
          </w:rPr>
          <w:t>Azmi</w:t>
        </w:r>
        <w:proofErr w:type="spellEnd"/>
        <w:r w:rsidRPr="00C3728B">
          <w:rPr>
            <w:sz w:val="20"/>
          </w:rPr>
          <w:t xml:space="preserve"> ,</w:t>
        </w:r>
        <w:proofErr w:type="gramEnd"/>
        <w:r w:rsidRPr="00C3728B">
          <w:rPr>
            <w:sz w:val="20"/>
          </w:rPr>
          <w:t xml:space="preserve"> </w:t>
        </w:r>
        <w:proofErr w:type="spellStart"/>
        <w:r>
          <w:rPr>
            <w:sz w:val="20"/>
          </w:rPr>
          <w:t>Faktor</w:t>
        </w:r>
        <w:proofErr w:type="spellEnd"/>
        <w:r>
          <w:rPr>
            <w:sz w:val="20"/>
          </w:rPr>
          <w:t xml:space="preserve"> </w:t>
        </w:r>
        <w:proofErr w:type="spellStart"/>
        <w:r>
          <w:rPr>
            <w:sz w:val="20"/>
          </w:rPr>
          <w:t>Pencegahan</w:t>
        </w:r>
        <w:proofErr w:type="spellEnd"/>
        <w:r>
          <w:rPr>
            <w:sz w:val="20"/>
          </w:rPr>
          <w:t xml:space="preserve"> </w:t>
        </w:r>
        <w:proofErr w:type="spellStart"/>
        <w:r>
          <w:rPr>
            <w:sz w:val="20"/>
          </w:rPr>
          <w:t>Balita</w:t>
        </w:r>
        <w:proofErr w:type="spellEnd"/>
        <w:r w:rsidRPr="00C3728B">
          <w:rPr>
            <w:sz w:val="20"/>
            <w:lang w:val="id-ID"/>
          </w:rPr>
          <w:t>....</w:t>
        </w:r>
        <w:r w:rsidRPr="00C3728B">
          <w:rPr>
            <w:sz w:val="20"/>
          </w:rPr>
          <w:t>..</w:t>
        </w:r>
        <w:r w:rsidR="00426D07" w:rsidRPr="00C3728B">
          <w:rPr>
            <w:sz w:val="20"/>
          </w:rPr>
          <w:fldChar w:fldCharType="begin"/>
        </w:r>
        <w:r w:rsidR="00426D07" w:rsidRPr="00C3728B">
          <w:rPr>
            <w:sz w:val="20"/>
          </w:rPr>
          <w:instrText xml:space="preserve"> PAGE   \* MERGEFORMAT </w:instrText>
        </w:r>
        <w:r w:rsidR="00426D07" w:rsidRPr="00C3728B">
          <w:rPr>
            <w:sz w:val="20"/>
          </w:rPr>
          <w:fldChar w:fldCharType="separate"/>
        </w:r>
        <w:r>
          <w:rPr>
            <w:noProof/>
            <w:sz w:val="20"/>
          </w:rPr>
          <w:t>62</w:t>
        </w:r>
        <w:r w:rsidR="00426D07" w:rsidRPr="00C3728B">
          <w:rPr>
            <w:noProof/>
            <w:sz w:val="20"/>
          </w:rPr>
          <w:fldChar w:fldCharType="end"/>
        </w:r>
        <w:r w:rsidR="00426D07">
          <w:rPr>
            <w:noProof/>
            <w:sz w:val="20"/>
          </w:rPr>
          <w:t xml:space="preserve">. </w:t>
        </w:r>
      </w:p>
      <w:p w14:paraId="66D8D630" w14:textId="4305BFE9" w:rsidR="00426D07" w:rsidRDefault="00447C93" w:rsidP="00426D07">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1D00CFEE" w14:textId="272A2D36" w:rsidR="00426D07" w:rsidRPr="00ED5751" w:rsidRDefault="00426D07" w:rsidP="00ED5751">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ED5751">
          <w:rPr>
            <w:noProof/>
            <w:sz w:val="20"/>
          </w:rPr>
          <w:t>63</w:t>
        </w:r>
        <w:r w:rsidRPr="00C3728B">
          <w:rPr>
            <w:noProof/>
            <w:sz w:val="20"/>
          </w:rPr>
          <w:fldChar w:fldCharType="end"/>
        </w:r>
        <w:r w:rsidR="00ED5751">
          <w:rPr>
            <w:noProof/>
            <w:sz w:val="20"/>
          </w:rPr>
          <w:t xml:space="preserve">. </w:t>
        </w:r>
        <w:r w:rsidR="00ED5751" w:rsidRPr="00C3728B">
          <w:rPr>
            <w:noProof/>
            <w:sz w:val="20"/>
            <w:lang w:val="id-ID"/>
          </w:rPr>
          <w:t>Media</w:t>
        </w:r>
        <w:r w:rsidR="00ED5751">
          <w:rPr>
            <w:noProof/>
            <w:sz w:val="20"/>
            <w:lang w:val="id-ID"/>
          </w:rPr>
          <w:t xml:space="preserve"> Gizi Kesmas, Vol </w:t>
        </w:r>
        <w:r w:rsidR="00ED5751">
          <w:rPr>
            <w:noProof/>
            <w:sz w:val="20"/>
          </w:rPr>
          <w:t>11,</w:t>
        </w:r>
        <w:r w:rsidR="00ED5751" w:rsidRPr="00C3728B">
          <w:rPr>
            <w:noProof/>
            <w:sz w:val="20"/>
            <w:lang w:val="id-ID"/>
          </w:rPr>
          <w:t xml:space="preserve"> No </w:t>
        </w:r>
        <w:r w:rsidR="00ED5751">
          <w:rPr>
            <w:noProof/>
            <w:sz w:val="20"/>
          </w:rPr>
          <w:t xml:space="preserve">Juni 2022 </w:t>
        </w:r>
        <w:r w:rsidR="00ED5751">
          <w:rPr>
            <w:noProof/>
            <w:sz w:val="20"/>
            <w:lang w:val="id-ID"/>
          </w:rPr>
          <w:t>: Halaman:</w:t>
        </w:r>
        <w:r w:rsidR="00ED5751">
          <w:rPr>
            <w:noProof/>
            <w:sz w:val="20"/>
          </w:rPr>
          <w:t xml:space="preserve"> 54-63</w:t>
        </w:r>
      </w:p>
    </w:sdtContent>
  </w:sdt>
  <w:p w14:paraId="7A65D752" w14:textId="77777777" w:rsidR="00426D07" w:rsidRDefault="00426D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426D07" w:rsidRDefault="00426D07"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62B66AEC" w:rsidR="00426D07" w:rsidRPr="00C3728B" w:rsidRDefault="00063D19" w:rsidP="00F86902">
                          <w:pPr>
                            <w:rPr>
                              <w:sz w:val="18"/>
                            </w:rPr>
                          </w:pPr>
                          <w:r>
                            <w:rPr>
                              <w:sz w:val="18"/>
                            </w:rPr>
                            <w:t>©2022</w:t>
                          </w:r>
                          <w:r w:rsidR="00426D07" w:rsidRPr="00C3728B">
                            <w:rPr>
                              <w:sz w:val="18"/>
                              <w:lang w:val="id-ID"/>
                            </w:rPr>
                            <w:t>.</w:t>
                          </w:r>
                          <w:r w:rsidR="00426D07" w:rsidRPr="00C3728B">
                            <w:rPr>
                              <w:sz w:val="18"/>
                            </w:rPr>
                            <w:t xml:space="preserve"> Media </w:t>
                          </w:r>
                          <w:proofErr w:type="spellStart"/>
                          <w:r w:rsidR="00426D07" w:rsidRPr="00C3728B">
                            <w:rPr>
                              <w:sz w:val="18"/>
                            </w:rPr>
                            <w:t>Gizi</w:t>
                          </w:r>
                          <w:proofErr w:type="spellEnd"/>
                          <w:r w:rsidR="00426D07" w:rsidRPr="00C3728B">
                            <w:rPr>
                              <w:sz w:val="18"/>
                            </w:rPr>
                            <w:t xml:space="preserve"> </w:t>
                          </w:r>
                          <w:proofErr w:type="spellStart"/>
                          <w:r w:rsidR="00426D07" w:rsidRPr="00C3728B">
                            <w:rPr>
                              <w:sz w:val="18"/>
                            </w:rPr>
                            <w:t>Kesmas</w:t>
                          </w:r>
                          <w:proofErr w:type="spellEnd"/>
                          <w:r w:rsidR="00426D07" w:rsidRPr="00C3728B">
                            <w:rPr>
                              <w:sz w:val="18"/>
                            </w:rPr>
                            <w:t xml:space="preserve">. Published by </w:t>
                          </w:r>
                          <w:proofErr w:type="spellStart"/>
                          <w:r w:rsidR="00426D07" w:rsidRPr="00C3728B">
                            <w:rPr>
                              <w:sz w:val="18"/>
                            </w:rPr>
                            <w:t>Universitas</w:t>
                          </w:r>
                          <w:proofErr w:type="spellEnd"/>
                          <w:r w:rsidR="00426D07" w:rsidRPr="00C3728B">
                            <w:rPr>
                              <w:sz w:val="18"/>
                            </w:rPr>
                            <w:t xml:space="preserve"> </w:t>
                          </w:r>
                          <w:proofErr w:type="spellStart"/>
                          <w:r w:rsidR="00426D07" w:rsidRPr="00C3728B">
                            <w:rPr>
                              <w:sz w:val="18"/>
                            </w:rPr>
                            <w:t>Airlangga</w:t>
                          </w:r>
                          <w:proofErr w:type="spellEnd"/>
                          <w:r w:rsidR="00426D07" w:rsidRPr="00C3728B">
                            <w:rPr>
                              <w:sz w:val="18"/>
                            </w:rPr>
                            <w:t xml:space="preserve">. </w:t>
                          </w:r>
                          <w:r w:rsidR="00426D07" w:rsidRPr="00C3728B">
                            <w:rPr>
                              <w:sz w:val="18"/>
                              <w:lang w:val="id-ID"/>
                            </w:rPr>
                            <w:t xml:space="preserve">                             </w:t>
                          </w:r>
                          <w:r w:rsidR="00426D07">
                            <w:rPr>
                              <w:sz w:val="18"/>
                            </w:rPr>
                            <w:t xml:space="preserve">            </w:t>
                          </w:r>
                          <w:r w:rsidR="00426D07" w:rsidRPr="00C3728B">
                            <w:rPr>
                              <w:sz w:val="18"/>
                            </w:rPr>
                            <w:t xml:space="preserve">This is an open access article under CC-BY-SA license </w:t>
                          </w:r>
                        </w:p>
                        <w:p w14:paraId="1CC46B7B" w14:textId="495B9178" w:rsidR="00426D07" w:rsidRPr="00B85BD9" w:rsidRDefault="00426D07" w:rsidP="00F86902">
                          <w:pPr>
                            <w:rPr>
                              <w:sz w:val="18"/>
                            </w:rPr>
                          </w:pPr>
                          <w:r>
                            <w:rPr>
                              <w:sz w:val="18"/>
                            </w:rPr>
                            <w:t>Received: 08-01-2021</w:t>
                          </w:r>
                          <w:proofErr w:type="gramStart"/>
                          <w:r>
                            <w:rPr>
                              <w:sz w:val="18"/>
                            </w:rPr>
                            <w:t xml:space="preserve">, </w:t>
                          </w:r>
                          <w:r w:rsidR="00ED5751">
                            <w:rPr>
                              <w:sz w:val="18"/>
                            </w:rPr>
                            <w:t xml:space="preserve"> Revised</w:t>
                          </w:r>
                          <w:proofErr w:type="gramEnd"/>
                          <w:r w:rsidR="00ED5751">
                            <w:rPr>
                              <w:sz w:val="18"/>
                            </w:rPr>
                            <w:t xml:space="preserve">: 07-10-2021, </w:t>
                          </w:r>
                          <w:r>
                            <w:rPr>
                              <w:sz w:val="18"/>
                            </w:rPr>
                            <w:t>Accepted 17-11-2021, Published:01-06-2022</w:t>
                          </w:r>
                        </w:p>
                        <w:p w14:paraId="365C1085" w14:textId="77777777" w:rsidR="00426D07" w:rsidRPr="00EE1510" w:rsidRDefault="00426D07"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62B66AEC" w:rsidR="00426D07" w:rsidRPr="00C3728B" w:rsidRDefault="00063D19" w:rsidP="00F86902">
                    <w:pPr>
                      <w:rPr>
                        <w:sz w:val="18"/>
                      </w:rPr>
                    </w:pPr>
                    <w:r>
                      <w:rPr>
                        <w:sz w:val="18"/>
                      </w:rPr>
                      <w:t>©2022</w:t>
                    </w:r>
                    <w:r w:rsidR="00426D07" w:rsidRPr="00C3728B">
                      <w:rPr>
                        <w:sz w:val="18"/>
                        <w:lang w:val="id-ID"/>
                      </w:rPr>
                      <w:t>.</w:t>
                    </w:r>
                    <w:r w:rsidR="00426D07" w:rsidRPr="00C3728B">
                      <w:rPr>
                        <w:sz w:val="18"/>
                      </w:rPr>
                      <w:t xml:space="preserve"> Media </w:t>
                    </w:r>
                    <w:proofErr w:type="spellStart"/>
                    <w:r w:rsidR="00426D07" w:rsidRPr="00C3728B">
                      <w:rPr>
                        <w:sz w:val="18"/>
                      </w:rPr>
                      <w:t>Gizi</w:t>
                    </w:r>
                    <w:proofErr w:type="spellEnd"/>
                    <w:r w:rsidR="00426D07" w:rsidRPr="00C3728B">
                      <w:rPr>
                        <w:sz w:val="18"/>
                      </w:rPr>
                      <w:t xml:space="preserve"> </w:t>
                    </w:r>
                    <w:proofErr w:type="spellStart"/>
                    <w:r w:rsidR="00426D07" w:rsidRPr="00C3728B">
                      <w:rPr>
                        <w:sz w:val="18"/>
                      </w:rPr>
                      <w:t>Kesmas</w:t>
                    </w:r>
                    <w:proofErr w:type="spellEnd"/>
                    <w:r w:rsidR="00426D07" w:rsidRPr="00C3728B">
                      <w:rPr>
                        <w:sz w:val="18"/>
                      </w:rPr>
                      <w:t xml:space="preserve">. Published by </w:t>
                    </w:r>
                    <w:proofErr w:type="spellStart"/>
                    <w:r w:rsidR="00426D07" w:rsidRPr="00C3728B">
                      <w:rPr>
                        <w:sz w:val="18"/>
                      </w:rPr>
                      <w:t>Universitas</w:t>
                    </w:r>
                    <w:proofErr w:type="spellEnd"/>
                    <w:r w:rsidR="00426D07" w:rsidRPr="00C3728B">
                      <w:rPr>
                        <w:sz w:val="18"/>
                      </w:rPr>
                      <w:t xml:space="preserve"> </w:t>
                    </w:r>
                    <w:proofErr w:type="spellStart"/>
                    <w:r w:rsidR="00426D07" w:rsidRPr="00C3728B">
                      <w:rPr>
                        <w:sz w:val="18"/>
                      </w:rPr>
                      <w:t>Airlangga</w:t>
                    </w:r>
                    <w:proofErr w:type="spellEnd"/>
                    <w:r w:rsidR="00426D07" w:rsidRPr="00C3728B">
                      <w:rPr>
                        <w:sz w:val="18"/>
                      </w:rPr>
                      <w:t xml:space="preserve">. </w:t>
                    </w:r>
                    <w:r w:rsidR="00426D07" w:rsidRPr="00C3728B">
                      <w:rPr>
                        <w:sz w:val="18"/>
                        <w:lang w:val="id-ID"/>
                      </w:rPr>
                      <w:t xml:space="preserve">                             </w:t>
                    </w:r>
                    <w:r w:rsidR="00426D07">
                      <w:rPr>
                        <w:sz w:val="18"/>
                      </w:rPr>
                      <w:t xml:space="preserve">            </w:t>
                    </w:r>
                    <w:r w:rsidR="00426D07" w:rsidRPr="00C3728B">
                      <w:rPr>
                        <w:sz w:val="18"/>
                      </w:rPr>
                      <w:t xml:space="preserve">This is an open access article under CC-BY-SA license </w:t>
                    </w:r>
                  </w:p>
                  <w:p w14:paraId="1CC46B7B" w14:textId="495B9178" w:rsidR="00426D07" w:rsidRPr="00B85BD9" w:rsidRDefault="00426D07" w:rsidP="00F86902">
                    <w:pPr>
                      <w:rPr>
                        <w:sz w:val="18"/>
                      </w:rPr>
                    </w:pPr>
                    <w:r>
                      <w:rPr>
                        <w:sz w:val="18"/>
                      </w:rPr>
                      <w:t>Received: 08-01-2021</w:t>
                    </w:r>
                    <w:proofErr w:type="gramStart"/>
                    <w:r>
                      <w:rPr>
                        <w:sz w:val="18"/>
                      </w:rPr>
                      <w:t xml:space="preserve">, </w:t>
                    </w:r>
                    <w:r w:rsidR="00ED5751">
                      <w:rPr>
                        <w:sz w:val="18"/>
                      </w:rPr>
                      <w:t xml:space="preserve"> Revised</w:t>
                    </w:r>
                    <w:proofErr w:type="gramEnd"/>
                    <w:r w:rsidR="00ED5751">
                      <w:rPr>
                        <w:sz w:val="18"/>
                      </w:rPr>
                      <w:t xml:space="preserve">: 07-10-2021, </w:t>
                    </w:r>
                    <w:r>
                      <w:rPr>
                        <w:sz w:val="18"/>
                      </w:rPr>
                      <w:t>Accepted 17-11-2021, Published:01-06-2022</w:t>
                    </w:r>
                  </w:p>
                  <w:p w14:paraId="365C1085" w14:textId="77777777" w:rsidR="00426D07" w:rsidRPr="00EE1510" w:rsidRDefault="00426D07"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426D07" w:rsidRPr="00FC38EA" w:rsidRDefault="00426D07">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42783A12"/>
    <w:multiLevelType w:val="hybridMultilevel"/>
    <w:tmpl w:val="EC9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53B7B"/>
    <w:multiLevelType w:val="hybridMultilevel"/>
    <w:tmpl w:val="2A3E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4650BC0"/>
    <w:multiLevelType w:val="hybridMultilevel"/>
    <w:tmpl w:val="D340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7"/>
  </w:num>
  <w:num w:numId="5">
    <w:abstractNumId w:val="23"/>
  </w:num>
  <w:num w:numId="6">
    <w:abstractNumId w:val="24"/>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8"/>
  </w:num>
  <w:num w:numId="12">
    <w:abstractNumId w:val="4"/>
  </w:num>
  <w:num w:numId="13">
    <w:abstractNumId w:val="5"/>
  </w:num>
  <w:num w:numId="14">
    <w:abstractNumId w:val="20"/>
  </w:num>
  <w:num w:numId="15">
    <w:abstractNumId w:val="18"/>
  </w:num>
  <w:num w:numId="16">
    <w:abstractNumId w:val="11"/>
  </w:num>
  <w:num w:numId="17">
    <w:abstractNumId w:val="16"/>
  </w:num>
  <w:num w:numId="18">
    <w:abstractNumId w:val="7"/>
  </w:num>
  <w:num w:numId="19">
    <w:abstractNumId w:val="21"/>
  </w:num>
  <w:num w:numId="20">
    <w:abstractNumId w:val="19"/>
  </w:num>
  <w:num w:numId="21">
    <w:abstractNumId w:val="3"/>
  </w:num>
  <w:num w:numId="22">
    <w:abstractNumId w:val="10"/>
  </w:num>
  <w:num w:numId="23">
    <w:abstractNumId w:val="2"/>
  </w:num>
  <w:num w:numId="24">
    <w:abstractNumId w:val="2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25BC"/>
    <w:rsid w:val="00023174"/>
    <w:rsid w:val="00023F7D"/>
    <w:rsid w:val="0002489E"/>
    <w:rsid w:val="00024FC7"/>
    <w:rsid w:val="000253DA"/>
    <w:rsid w:val="0003483D"/>
    <w:rsid w:val="00042D46"/>
    <w:rsid w:val="000466F7"/>
    <w:rsid w:val="00046FB1"/>
    <w:rsid w:val="00050458"/>
    <w:rsid w:val="00057674"/>
    <w:rsid w:val="00063D19"/>
    <w:rsid w:val="000650AA"/>
    <w:rsid w:val="000676D8"/>
    <w:rsid w:val="00070990"/>
    <w:rsid w:val="00074E03"/>
    <w:rsid w:val="000772A5"/>
    <w:rsid w:val="0008130D"/>
    <w:rsid w:val="0008334C"/>
    <w:rsid w:val="000843B6"/>
    <w:rsid w:val="00084DD8"/>
    <w:rsid w:val="00092256"/>
    <w:rsid w:val="0009466E"/>
    <w:rsid w:val="000A4024"/>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3AFA"/>
    <w:rsid w:val="00107176"/>
    <w:rsid w:val="001116DB"/>
    <w:rsid w:val="0011196A"/>
    <w:rsid w:val="00111E7E"/>
    <w:rsid w:val="00112A41"/>
    <w:rsid w:val="0011321B"/>
    <w:rsid w:val="001138C7"/>
    <w:rsid w:val="00114D01"/>
    <w:rsid w:val="00124CAB"/>
    <w:rsid w:val="00141CAD"/>
    <w:rsid w:val="001526B1"/>
    <w:rsid w:val="00153844"/>
    <w:rsid w:val="001548E9"/>
    <w:rsid w:val="001616D3"/>
    <w:rsid w:val="0016477A"/>
    <w:rsid w:val="0016579A"/>
    <w:rsid w:val="00167A77"/>
    <w:rsid w:val="001717EC"/>
    <w:rsid w:val="00171834"/>
    <w:rsid w:val="00184F1B"/>
    <w:rsid w:val="001866DD"/>
    <w:rsid w:val="00190DE4"/>
    <w:rsid w:val="00191563"/>
    <w:rsid w:val="00191625"/>
    <w:rsid w:val="001A12A6"/>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3BF8"/>
    <w:rsid w:val="0020655B"/>
    <w:rsid w:val="002068AF"/>
    <w:rsid w:val="00210ADD"/>
    <w:rsid w:val="00212366"/>
    <w:rsid w:val="00214885"/>
    <w:rsid w:val="002151F5"/>
    <w:rsid w:val="002176AC"/>
    <w:rsid w:val="00220D33"/>
    <w:rsid w:val="00220DF1"/>
    <w:rsid w:val="00221CB0"/>
    <w:rsid w:val="00223CEF"/>
    <w:rsid w:val="00231ADC"/>
    <w:rsid w:val="0023390E"/>
    <w:rsid w:val="002352B1"/>
    <w:rsid w:val="00244730"/>
    <w:rsid w:val="00250317"/>
    <w:rsid w:val="00261BAE"/>
    <w:rsid w:val="00264AD7"/>
    <w:rsid w:val="00264B87"/>
    <w:rsid w:val="00267507"/>
    <w:rsid w:val="00270FA0"/>
    <w:rsid w:val="002801B1"/>
    <w:rsid w:val="00282BB1"/>
    <w:rsid w:val="002A67A1"/>
    <w:rsid w:val="002C1332"/>
    <w:rsid w:val="002C680F"/>
    <w:rsid w:val="002C7000"/>
    <w:rsid w:val="002D1408"/>
    <w:rsid w:val="002D1D55"/>
    <w:rsid w:val="002D2B60"/>
    <w:rsid w:val="002E2393"/>
    <w:rsid w:val="002E57B2"/>
    <w:rsid w:val="002E7E28"/>
    <w:rsid w:val="002F0D2D"/>
    <w:rsid w:val="002F3890"/>
    <w:rsid w:val="002F6C50"/>
    <w:rsid w:val="003029CB"/>
    <w:rsid w:val="00307611"/>
    <w:rsid w:val="003128B0"/>
    <w:rsid w:val="00322206"/>
    <w:rsid w:val="003225D9"/>
    <w:rsid w:val="00323A47"/>
    <w:rsid w:val="00327BE9"/>
    <w:rsid w:val="00331F3D"/>
    <w:rsid w:val="0033490E"/>
    <w:rsid w:val="00335C18"/>
    <w:rsid w:val="003368E6"/>
    <w:rsid w:val="003403BA"/>
    <w:rsid w:val="00342878"/>
    <w:rsid w:val="00345311"/>
    <w:rsid w:val="003519C1"/>
    <w:rsid w:val="00356E99"/>
    <w:rsid w:val="0035799D"/>
    <w:rsid w:val="00375CF9"/>
    <w:rsid w:val="00383749"/>
    <w:rsid w:val="00384154"/>
    <w:rsid w:val="003947E5"/>
    <w:rsid w:val="00395676"/>
    <w:rsid w:val="00396B09"/>
    <w:rsid w:val="00396FBE"/>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26D07"/>
    <w:rsid w:val="00441E2C"/>
    <w:rsid w:val="004429EF"/>
    <w:rsid w:val="004438BD"/>
    <w:rsid w:val="004456F6"/>
    <w:rsid w:val="00445A4E"/>
    <w:rsid w:val="0044648E"/>
    <w:rsid w:val="00447C93"/>
    <w:rsid w:val="00450EDC"/>
    <w:rsid w:val="00454987"/>
    <w:rsid w:val="004633BE"/>
    <w:rsid w:val="0046352A"/>
    <w:rsid w:val="00463BDA"/>
    <w:rsid w:val="0047146E"/>
    <w:rsid w:val="00472580"/>
    <w:rsid w:val="00472E9E"/>
    <w:rsid w:val="00476DF6"/>
    <w:rsid w:val="004837E3"/>
    <w:rsid w:val="00487851"/>
    <w:rsid w:val="004940DD"/>
    <w:rsid w:val="00495204"/>
    <w:rsid w:val="004972E6"/>
    <w:rsid w:val="00497497"/>
    <w:rsid w:val="00497A20"/>
    <w:rsid w:val="004A4EEC"/>
    <w:rsid w:val="004A564E"/>
    <w:rsid w:val="004B2F2A"/>
    <w:rsid w:val="004B3656"/>
    <w:rsid w:val="004C5B49"/>
    <w:rsid w:val="004C73C2"/>
    <w:rsid w:val="004D3F5B"/>
    <w:rsid w:val="004D6097"/>
    <w:rsid w:val="004D77D8"/>
    <w:rsid w:val="004E2802"/>
    <w:rsid w:val="004F1971"/>
    <w:rsid w:val="004F6686"/>
    <w:rsid w:val="00501610"/>
    <w:rsid w:val="00504CBA"/>
    <w:rsid w:val="00505183"/>
    <w:rsid w:val="00506B4E"/>
    <w:rsid w:val="00506DC1"/>
    <w:rsid w:val="00514B1D"/>
    <w:rsid w:val="00522DE3"/>
    <w:rsid w:val="005341AD"/>
    <w:rsid w:val="005355C1"/>
    <w:rsid w:val="005400D0"/>
    <w:rsid w:val="00541358"/>
    <w:rsid w:val="005422DE"/>
    <w:rsid w:val="00542803"/>
    <w:rsid w:val="00543347"/>
    <w:rsid w:val="005434A4"/>
    <w:rsid w:val="00544427"/>
    <w:rsid w:val="005527EF"/>
    <w:rsid w:val="00555117"/>
    <w:rsid w:val="00557826"/>
    <w:rsid w:val="00562634"/>
    <w:rsid w:val="00562D4C"/>
    <w:rsid w:val="00566E7A"/>
    <w:rsid w:val="00571F39"/>
    <w:rsid w:val="00572068"/>
    <w:rsid w:val="005753DA"/>
    <w:rsid w:val="005762DD"/>
    <w:rsid w:val="00580CC3"/>
    <w:rsid w:val="00582596"/>
    <w:rsid w:val="00582B2D"/>
    <w:rsid w:val="005A348A"/>
    <w:rsid w:val="005A70DE"/>
    <w:rsid w:val="005B5CBD"/>
    <w:rsid w:val="005B6BD1"/>
    <w:rsid w:val="005C34AF"/>
    <w:rsid w:val="005C6E5B"/>
    <w:rsid w:val="005C7E04"/>
    <w:rsid w:val="005D0F7C"/>
    <w:rsid w:val="005D1848"/>
    <w:rsid w:val="005D401C"/>
    <w:rsid w:val="005D71DC"/>
    <w:rsid w:val="005E21D8"/>
    <w:rsid w:val="005E4F5E"/>
    <w:rsid w:val="005F16B6"/>
    <w:rsid w:val="005F2819"/>
    <w:rsid w:val="005F3E18"/>
    <w:rsid w:val="005F4D3A"/>
    <w:rsid w:val="00600D25"/>
    <w:rsid w:val="0061109F"/>
    <w:rsid w:val="00612ED4"/>
    <w:rsid w:val="00615E91"/>
    <w:rsid w:val="00625E62"/>
    <w:rsid w:val="00635969"/>
    <w:rsid w:val="0064202D"/>
    <w:rsid w:val="00642FC0"/>
    <w:rsid w:val="00644E5A"/>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4C2"/>
    <w:rsid w:val="0068556F"/>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0530"/>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1B30"/>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3C71"/>
    <w:rsid w:val="00824251"/>
    <w:rsid w:val="00826A85"/>
    <w:rsid w:val="00827167"/>
    <w:rsid w:val="008275C5"/>
    <w:rsid w:val="00830C7E"/>
    <w:rsid w:val="0083295A"/>
    <w:rsid w:val="0083309B"/>
    <w:rsid w:val="00836D4D"/>
    <w:rsid w:val="00840C6A"/>
    <w:rsid w:val="00844116"/>
    <w:rsid w:val="00852D7E"/>
    <w:rsid w:val="00857EEB"/>
    <w:rsid w:val="00865834"/>
    <w:rsid w:val="008673C7"/>
    <w:rsid w:val="008708CB"/>
    <w:rsid w:val="0087317B"/>
    <w:rsid w:val="008743B4"/>
    <w:rsid w:val="008777EA"/>
    <w:rsid w:val="008953A6"/>
    <w:rsid w:val="00897824"/>
    <w:rsid w:val="00897DBE"/>
    <w:rsid w:val="008A751E"/>
    <w:rsid w:val="008B7A09"/>
    <w:rsid w:val="008C2853"/>
    <w:rsid w:val="008C315F"/>
    <w:rsid w:val="008C41B9"/>
    <w:rsid w:val="008D0193"/>
    <w:rsid w:val="008D42F2"/>
    <w:rsid w:val="008E44F3"/>
    <w:rsid w:val="008E7CEF"/>
    <w:rsid w:val="008F0B4D"/>
    <w:rsid w:val="008F18B9"/>
    <w:rsid w:val="008F5A3F"/>
    <w:rsid w:val="008F7D53"/>
    <w:rsid w:val="0090056B"/>
    <w:rsid w:val="00901537"/>
    <w:rsid w:val="00901723"/>
    <w:rsid w:val="00903C97"/>
    <w:rsid w:val="009110E0"/>
    <w:rsid w:val="0091723E"/>
    <w:rsid w:val="009200D1"/>
    <w:rsid w:val="00921810"/>
    <w:rsid w:val="0092296F"/>
    <w:rsid w:val="00924635"/>
    <w:rsid w:val="00925FDC"/>
    <w:rsid w:val="00932472"/>
    <w:rsid w:val="00933CAC"/>
    <w:rsid w:val="00935A26"/>
    <w:rsid w:val="00936FF4"/>
    <w:rsid w:val="00940077"/>
    <w:rsid w:val="0094286D"/>
    <w:rsid w:val="00943866"/>
    <w:rsid w:val="00943A6E"/>
    <w:rsid w:val="009560C7"/>
    <w:rsid w:val="00962372"/>
    <w:rsid w:val="0096329C"/>
    <w:rsid w:val="009639F2"/>
    <w:rsid w:val="00964A54"/>
    <w:rsid w:val="009754D5"/>
    <w:rsid w:val="009773BD"/>
    <w:rsid w:val="009807F5"/>
    <w:rsid w:val="009808F1"/>
    <w:rsid w:val="00981D49"/>
    <w:rsid w:val="009848BE"/>
    <w:rsid w:val="00986067"/>
    <w:rsid w:val="00991071"/>
    <w:rsid w:val="009913AD"/>
    <w:rsid w:val="00992D42"/>
    <w:rsid w:val="00992DE8"/>
    <w:rsid w:val="00993445"/>
    <w:rsid w:val="00995454"/>
    <w:rsid w:val="009975C1"/>
    <w:rsid w:val="009A033F"/>
    <w:rsid w:val="009A08CE"/>
    <w:rsid w:val="009A3C9A"/>
    <w:rsid w:val="009B3D74"/>
    <w:rsid w:val="009B4BC5"/>
    <w:rsid w:val="009B5A3B"/>
    <w:rsid w:val="009B7013"/>
    <w:rsid w:val="009B7F8A"/>
    <w:rsid w:val="009C1B06"/>
    <w:rsid w:val="009C478A"/>
    <w:rsid w:val="009D02E7"/>
    <w:rsid w:val="009D037C"/>
    <w:rsid w:val="009D61CB"/>
    <w:rsid w:val="009E3708"/>
    <w:rsid w:val="009E5E83"/>
    <w:rsid w:val="009E64C8"/>
    <w:rsid w:val="00A00ADA"/>
    <w:rsid w:val="00A012CA"/>
    <w:rsid w:val="00A0466C"/>
    <w:rsid w:val="00A07EBB"/>
    <w:rsid w:val="00A1210F"/>
    <w:rsid w:val="00A135A3"/>
    <w:rsid w:val="00A136F4"/>
    <w:rsid w:val="00A16FA3"/>
    <w:rsid w:val="00A22804"/>
    <w:rsid w:val="00A238BC"/>
    <w:rsid w:val="00A25C21"/>
    <w:rsid w:val="00A42539"/>
    <w:rsid w:val="00A42AF9"/>
    <w:rsid w:val="00A42DE7"/>
    <w:rsid w:val="00A44CE7"/>
    <w:rsid w:val="00A615DA"/>
    <w:rsid w:val="00A65CBE"/>
    <w:rsid w:val="00A67618"/>
    <w:rsid w:val="00A678C1"/>
    <w:rsid w:val="00A7178E"/>
    <w:rsid w:val="00A72D77"/>
    <w:rsid w:val="00A740E9"/>
    <w:rsid w:val="00A74283"/>
    <w:rsid w:val="00A7510C"/>
    <w:rsid w:val="00A75F1F"/>
    <w:rsid w:val="00A803F1"/>
    <w:rsid w:val="00A94E59"/>
    <w:rsid w:val="00A953C8"/>
    <w:rsid w:val="00AA0971"/>
    <w:rsid w:val="00AA4B64"/>
    <w:rsid w:val="00AB36C5"/>
    <w:rsid w:val="00AB475A"/>
    <w:rsid w:val="00AB5FD5"/>
    <w:rsid w:val="00AC0F20"/>
    <w:rsid w:val="00AC2D1D"/>
    <w:rsid w:val="00AC3F0B"/>
    <w:rsid w:val="00AC79E0"/>
    <w:rsid w:val="00AD1381"/>
    <w:rsid w:val="00AD554A"/>
    <w:rsid w:val="00AF4E0F"/>
    <w:rsid w:val="00B03FC7"/>
    <w:rsid w:val="00B05AEA"/>
    <w:rsid w:val="00B06342"/>
    <w:rsid w:val="00B072AC"/>
    <w:rsid w:val="00B11855"/>
    <w:rsid w:val="00B13291"/>
    <w:rsid w:val="00B24651"/>
    <w:rsid w:val="00B25039"/>
    <w:rsid w:val="00B26733"/>
    <w:rsid w:val="00B26BED"/>
    <w:rsid w:val="00B26C1B"/>
    <w:rsid w:val="00B31365"/>
    <w:rsid w:val="00B31D7B"/>
    <w:rsid w:val="00B34726"/>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4C9"/>
    <w:rsid w:val="00B815CF"/>
    <w:rsid w:val="00B8229D"/>
    <w:rsid w:val="00B85BD9"/>
    <w:rsid w:val="00B967F1"/>
    <w:rsid w:val="00B97159"/>
    <w:rsid w:val="00BA011A"/>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27A51"/>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3B49"/>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5EEB"/>
    <w:rsid w:val="00D468BA"/>
    <w:rsid w:val="00D46BD2"/>
    <w:rsid w:val="00D54013"/>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C16"/>
    <w:rsid w:val="00DC1F14"/>
    <w:rsid w:val="00DC23FE"/>
    <w:rsid w:val="00DC2A9A"/>
    <w:rsid w:val="00DC442C"/>
    <w:rsid w:val="00DC5A80"/>
    <w:rsid w:val="00DC5E0A"/>
    <w:rsid w:val="00DC6056"/>
    <w:rsid w:val="00DC68CA"/>
    <w:rsid w:val="00DD19D4"/>
    <w:rsid w:val="00DD2061"/>
    <w:rsid w:val="00DD2120"/>
    <w:rsid w:val="00DD265B"/>
    <w:rsid w:val="00DD328C"/>
    <w:rsid w:val="00DD6620"/>
    <w:rsid w:val="00DE0CBA"/>
    <w:rsid w:val="00DE17D4"/>
    <w:rsid w:val="00DE2A58"/>
    <w:rsid w:val="00DE672B"/>
    <w:rsid w:val="00DF6503"/>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D5751"/>
    <w:rsid w:val="00EE1510"/>
    <w:rsid w:val="00EE28E8"/>
    <w:rsid w:val="00EE321A"/>
    <w:rsid w:val="00EE3403"/>
    <w:rsid w:val="00EE645F"/>
    <w:rsid w:val="00EF1D37"/>
    <w:rsid w:val="00EF27B7"/>
    <w:rsid w:val="00EF30E9"/>
    <w:rsid w:val="00F0069F"/>
    <w:rsid w:val="00F164C9"/>
    <w:rsid w:val="00F22918"/>
    <w:rsid w:val="00F22C6E"/>
    <w:rsid w:val="00F24663"/>
    <w:rsid w:val="00F2559C"/>
    <w:rsid w:val="00F26B5E"/>
    <w:rsid w:val="00F33476"/>
    <w:rsid w:val="00F4624F"/>
    <w:rsid w:val="00F4683E"/>
    <w:rsid w:val="00F50129"/>
    <w:rsid w:val="00F53F1B"/>
    <w:rsid w:val="00F62BD7"/>
    <w:rsid w:val="00F63072"/>
    <w:rsid w:val="00F63238"/>
    <w:rsid w:val="00F635E3"/>
    <w:rsid w:val="00F71014"/>
    <w:rsid w:val="00F71457"/>
    <w:rsid w:val="00F7235E"/>
    <w:rsid w:val="00F73600"/>
    <w:rsid w:val="00F77ADA"/>
    <w:rsid w:val="00F838E9"/>
    <w:rsid w:val="00F86902"/>
    <w:rsid w:val="00F86C2E"/>
    <w:rsid w:val="00F91E14"/>
    <w:rsid w:val="00F977F1"/>
    <w:rsid w:val="00FA38FE"/>
    <w:rsid w:val="00FA74F9"/>
    <w:rsid w:val="00FB7810"/>
    <w:rsid w:val="00FC38EA"/>
    <w:rsid w:val="00FC5FC2"/>
    <w:rsid w:val="00FC6284"/>
    <w:rsid w:val="00FC6D65"/>
    <w:rsid w:val="00FD0A2A"/>
    <w:rsid w:val="00FD2C4E"/>
    <w:rsid w:val="00FD4E7D"/>
    <w:rsid w:val="00FD6298"/>
    <w:rsid w:val="00FD66BF"/>
    <w:rsid w:val="00FD7A98"/>
    <w:rsid w:val="00FE195A"/>
    <w:rsid w:val="00FE59F7"/>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customStyle="1" w:styleId="TableGrid1">
    <w:name w:val="Table Grid1"/>
    <w:basedOn w:val="TableNormal"/>
    <w:next w:val="TableGrid"/>
    <w:uiPriority w:val="39"/>
    <w:rsid w:val="000650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7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7178E"/>
    <w:rPr>
      <w:rFonts w:ascii="Courier New" w:hAnsi="Courier New" w:cs="Courier New"/>
    </w:rPr>
  </w:style>
  <w:style w:type="character" w:customStyle="1" w:styleId="jlqj4b">
    <w:name w:val="jlqj4b"/>
    <w:basedOn w:val="DefaultParagraphFont"/>
    <w:rsid w:val="00DC6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customStyle="1" w:styleId="TableGrid1">
    <w:name w:val="Table Grid1"/>
    <w:basedOn w:val="TableNormal"/>
    <w:next w:val="TableGrid"/>
    <w:uiPriority w:val="39"/>
    <w:rsid w:val="000650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7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7178E"/>
    <w:rPr>
      <w:rFonts w:ascii="Courier New" w:hAnsi="Courier New" w:cs="Courier New"/>
    </w:rPr>
  </w:style>
  <w:style w:type="character" w:customStyle="1" w:styleId="jlqj4b">
    <w:name w:val="jlqj4b"/>
    <w:basedOn w:val="DefaultParagraphFont"/>
    <w:rsid w:val="00DC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89084336">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793476031">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B98F-776E-4601-821D-0CCDD686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17894</Words>
  <Characters>101999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119654</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2021-06-09T09:53:00Z</dcterms:created>
  <dcterms:modified xsi:type="dcterms:W3CDTF">2022-01-19T06:25:00Z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http://csl.mendeley.com/styles/632762641/harvard-cite-them-right-2</vt:lpwstr>
  </property>
  <property fmtid="{D5CDD505-2E9C-101B-9397-08002B2CF9AE}" pid="9" name="Mendeley Recent Style Name 3_1">
    <vt:lpwstr>Cite Them Right 10th edition - Harvard - Fitri Widyanti</vt:lpwstr>
  </property>
  <property fmtid="{D5CDD505-2E9C-101B-9397-08002B2CF9AE}" pid="10" name="Mendeley Recent Style Id 4_1">
    <vt:lpwstr>https://csl.mendeley.com/styles/632762641/harvard-cite-them-right-2</vt:lpwstr>
  </property>
  <property fmtid="{D5CDD505-2E9C-101B-9397-08002B2CF9AE}" pid="11" name="Mendeley Recent Style Name 4_1">
    <vt:lpwstr>Cite Them Right 10th edition - Harvard - Fitri Widyanti</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36de2296-f229-3436-8210-efbac6ac19aa</vt:lpwstr>
  </property>
  <property fmtid="{D5CDD505-2E9C-101B-9397-08002B2CF9AE}" pid="24" name="Mendeley Citation Style_1">
    <vt:lpwstr>https://csl.mendeley.com/styles/632762641/harvard-cite-them-right-2</vt:lpwstr>
  </property>
</Properties>
</file>