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F50129" w:rsidRDefault="00F22918" w:rsidP="00DD19D4">
      <w:pPr>
        <w:jc w:val="center"/>
        <w:rPr>
          <w:b/>
          <w:sz w:val="28"/>
          <w:szCs w:val="20"/>
        </w:rPr>
      </w:pPr>
    </w:p>
    <w:p w14:paraId="79575C77" w14:textId="77777777" w:rsidR="00F22918" w:rsidRPr="00F50129" w:rsidRDefault="00F22918" w:rsidP="00DD19D4">
      <w:pPr>
        <w:jc w:val="center"/>
        <w:rPr>
          <w:b/>
          <w:sz w:val="28"/>
          <w:szCs w:val="20"/>
        </w:rPr>
      </w:pPr>
      <w:r w:rsidRPr="00F50129">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F22918" w:rsidRPr="00C3728B" w:rsidRDefault="00F22918"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F50129" w:rsidRDefault="00F22918" w:rsidP="00DD19D4">
      <w:pPr>
        <w:jc w:val="center"/>
        <w:rPr>
          <w:b/>
          <w:sz w:val="28"/>
          <w:szCs w:val="20"/>
        </w:rPr>
      </w:pPr>
    </w:p>
    <w:p w14:paraId="6FEE10D7" w14:textId="77777777" w:rsidR="00F22918" w:rsidRPr="00F50129" w:rsidRDefault="00F22918" w:rsidP="00DD19D4">
      <w:pPr>
        <w:jc w:val="center"/>
        <w:rPr>
          <w:b/>
          <w:sz w:val="28"/>
          <w:szCs w:val="20"/>
        </w:rPr>
      </w:pPr>
    </w:p>
    <w:p w14:paraId="1B08EFF5" w14:textId="77777777" w:rsidR="00F22918" w:rsidRPr="00F50129" w:rsidRDefault="00F22918" w:rsidP="00DD19D4">
      <w:pPr>
        <w:jc w:val="center"/>
        <w:rPr>
          <w:b/>
          <w:sz w:val="28"/>
          <w:szCs w:val="20"/>
        </w:rPr>
      </w:pPr>
    </w:p>
    <w:p w14:paraId="40EA5A8D" w14:textId="59F4C072" w:rsidR="00DD328C" w:rsidRPr="00813EB9" w:rsidRDefault="00700B90" w:rsidP="00DD19D4">
      <w:pPr>
        <w:jc w:val="center"/>
        <w:rPr>
          <w:b/>
          <w:i/>
          <w:sz w:val="28"/>
          <w:szCs w:val="20"/>
        </w:rPr>
      </w:pPr>
      <w:proofErr w:type="spellStart"/>
      <w:r w:rsidRPr="00813EB9">
        <w:rPr>
          <w:b/>
          <w:i/>
          <w:sz w:val="28"/>
          <w:szCs w:val="20"/>
        </w:rPr>
        <w:t>Hubungan</w:t>
      </w:r>
      <w:proofErr w:type="spellEnd"/>
      <w:r w:rsidRPr="00813EB9">
        <w:rPr>
          <w:b/>
          <w:i/>
          <w:sz w:val="28"/>
          <w:szCs w:val="20"/>
        </w:rPr>
        <w:t xml:space="preserve"> </w:t>
      </w:r>
      <w:proofErr w:type="spellStart"/>
      <w:r w:rsidRPr="00813EB9">
        <w:rPr>
          <w:b/>
          <w:i/>
          <w:sz w:val="28"/>
          <w:szCs w:val="20"/>
        </w:rPr>
        <w:t>Dukungan</w:t>
      </w:r>
      <w:proofErr w:type="spellEnd"/>
      <w:r w:rsidRPr="00813EB9">
        <w:rPr>
          <w:b/>
          <w:i/>
          <w:sz w:val="28"/>
          <w:szCs w:val="20"/>
        </w:rPr>
        <w:t xml:space="preserve"> </w:t>
      </w:r>
      <w:proofErr w:type="spellStart"/>
      <w:r w:rsidRPr="00813EB9">
        <w:rPr>
          <w:b/>
          <w:i/>
          <w:sz w:val="28"/>
          <w:szCs w:val="20"/>
        </w:rPr>
        <w:t>Sosial</w:t>
      </w:r>
      <w:proofErr w:type="spellEnd"/>
      <w:r w:rsidRPr="00813EB9">
        <w:rPr>
          <w:b/>
          <w:i/>
          <w:sz w:val="28"/>
          <w:szCs w:val="20"/>
        </w:rPr>
        <w:t xml:space="preserve"> </w:t>
      </w:r>
      <w:proofErr w:type="spellStart"/>
      <w:r w:rsidRPr="00813EB9">
        <w:rPr>
          <w:b/>
          <w:i/>
          <w:sz w:val="28"/>
          <w:szCs w:val="20"/>
        </w:rPr>
        <w:t>dan</w:t>
      </w:r>
      <w:proofErr w:type="spellEnd"/>
      <w:r w:rsidRPr="00813EB9">
        <w:rPr>
          <w:b/>
          <w:i/>
          <w:sz w:val="28"/>
          <w:szCs w:val="20"/>
        </w:rPr>
        <w:t xml:space="preserve"> </w:t>
      </w:r>
      <w:proofErr w:type="spellStart"/>
      <w:r w:rsidRPr="00813EB9">
        <w:rPr>
          <w:b/>
          <w:i/>
          <w:sz w:val="28"/>
          <w:szCs w:val="20"/>
        </w:rPr>
        <w:t>Perilaku</w:t>
      </w:r>
      <w:proofErr w:type="spellEnd"/>
      <w:r w:rsidRPr="00813EB9">
        <w:rPr>
          <w:b/>
          <w:i/>
          <w:sz w:val="28"/>
          <w:szCs w:val="20"/>
        </w:rPr>
        <w:t xml:space="preserve"> </w:t>
      </w:r>
      <w:proofErr w:type="spellStart"/>
      <w:r w:rsidRPr="00813EB9">
        <w:rPr>
          <w:b/>
          <w:i/>
          <w:sz w:val="28"/>
          <w:szCs w:val="20"/>
        </w:rPr>
        <w:t>Merokok</w:t>
      </w:r>
      <w:proofErr w:type="spellEnd"/>
      <w:r w:rsidRPr="00813EB9">
        <w:rPr>
          <w:b/>
          <w:i/>
          <w:sz w:val="28"/>
          <w:szCs w:val="20"/>
        </w:rPr>
        <w:t xml:space="preserve"> </w:t>
      </w:r>
      <w:proofErr w:type="spellStart"/>
      <w:r w:rsidRPr="00813EB9">
        <w:rPr>
          <w:b/>
          <w:i/>
          <w:iCs/>
          <w:sz w:val="28"/>
          <w:szCs w:val="20"/>
        </w:rPr>
        <w:t>Vape</w:t>
      </w:r>
      <w:proofErr w:type="spellEnd"/>
      <w:r w:rsidRPr="00813EB9">
        <w:rPr>
          <w:b/>
          <w:i/>
          <w:sz w:val="28"/>
          <w:szCs w:val="20"/>
        </w:rPr>
        <w:t xml:space="preserve"> </w:t>
      </w:r>
      <w:proofErr w:type="spellStart"/>
      <w:r w:rsidRPr="00813EB9">
        <w:rPr>
          <w:b/>
          <w:i/>
          <w:sz w:val="28"/>
          <w:szCs w:val="20"/>
        </w:rPr>
        <w:t>pada</w:t>
      </w:r>
      <w:proofErr w:type="spellEnd"/>
      <w:r w:rsidRPr="00813EB9">
        <w:rPr>
          <w:b/>
          <w:i/>
          <w:sz w:val="28"/>
          <w:szCs w:val="20"/>
        </w:rPr>
        <w:t xml:space="preserve"> </w:t>
      </w:r>
      <w:proofErr w:type="spellStart"/>
      <w:r w:rsidRPr="00813EB9">
        <w:rPr>
          <w:b/>
          <w:i/>
          <w:sz w:val="28"/>
          <w:szCs w:val="20"/>
        </w:rPr>
        <w:t>Remaja</w:t>
      </w:r>
      <w:proofErr w:type="spellEnd"/>
      <w:r w:rsidRPr="00813EB9">
        <w:rPr>
          <w:b/>
          <w:i/>
          <w:sz w:val="28"/>
          <w:szCs w:val="20"/>
        </w:rPr>
        <w:t xml:space="preserve"> </w:t>
      </w:r>
      <w:proofErr w:type="spellStart"/>
      <w:r w:rsidRPr="00813EB9">
        <w:rPr>
          <w:b/>
          <w:i/>
          <w:sz w:val="28"/>
          <w:szCs w:val="20"/>
        </w:rPr>
        <w:t>Usia</w:t>
      </w:r>
      <w:proofErr w:type="spellEnd"/>
      <w:r w:rsidRPr="00813EB9">
        <w:rPr>
          <w:b/>
          <w:i/>
          <w:sz w:val="28"/>
          <w:szCs w:val="20"/>
        </w:rPr>
        <w:t xml:space="preserve"> SMA di Surabaya</w:t>
      </w:r>
    </w:p>
    <w:p w14:paraId="79A0B72C" w14:textId="77777777" w:rsidR="00DD19D4" w:rsidRPr="00F50129" w:rsidRDefault="00DD19D4" w:rsidP="00DD19D4">
      <w:pPr>
        <w:jc w:val="center"/>
        <w:rPr>
          <w:b/>
          <w:i/>
          <w:sz w:val="28"/>
          <w:szCs w:val="20"/>
        </w:rPr>
      </w:pPr>
    </w:p>
    <w:p w14:paraId="25A01F07" w14:textId="1C4C4962" w:rsidR="000D5504" w:rsidRDefault="00700B90" w:rsidP="00DD19D4">
      <w:pPr>
        <w:jc w:val="center"/>
        <w:rPr>
          <w:b/>
          <w:sz w:val="28"/>
          <w:szCs w:val="20"/>
        </w:rPr>
      </w:pPr>
      <w:r w:rsidRPr="00813EB9">
        <w:rPr>
          <w:b/>
          <w:sz w:val="28"/>
          <w:szCs w:val="20"/>
        </w:rPr>
        <w:t xml:space="preserve">The Relationship between Social Support and Vaping Behavior </w:t>
      </w:r>
      <w:r w:rsidR="0085254E" w:rsidRPr="00813EB9">
        <w:rPr>
          <w:b/>
          <w:sz w:val="28"/>
          <w:szCs w:val="20"/>
        </w:rPr>
        <w:t>of</w:t>
      </w:r>
      <w:r w:rsidRPr="00813EB9">
        <w:rPr>
          <w:b/>
          <w:sz w:val="28"/>
          <w:szCs w:val="20"/>
        </w:rPr>
        <w:t xml:space="preserve"> Senior High Age Adolescents </w:t>
      </w:r>
      <w:r w:rsidR="0085254E" w:rsidRPr="00813EB9">
        <w:rPr>
          <w:b/>
          <w:sz w:val="28"/>
          <w:szCs w:val="20"/>
        </w:rPr>
        <w:t>i</w:t>
      </w:r>
      <w:r w:rsidRPr="00813EB9">
        <w:rPr>
          <w:b/>
          <w:sz w:val="28"/>
          <w:szCs w:val="20"/>
        </w:rPr>
        <w:t>n Surabaya</w:t>
      </w:r>
    </w:p>
    <w:p w14:paraId="73443753" w14:textId="77777777" w:rsidR="00813EB9" w:rsidRPr="00813EB9" w:rsidRDefault="00813EB9" w:rsidP="00DD19D4">
      <w:pPr>
        <w:jc w:val="center"/>
        <w:rPr>
          <w:b/>
          <w:sz w:val="28"/>
          <w:szCs w:val="20"/>
        </w:rPr>
      </w:pPr>
    </w:p>
    <w:p w14:paraId="56F0E9BF" w14:textId="77777777" w:rsidR="00813EB9" w:rsidRDefault="00813EB9" w:rsidP="00813EB9">
      <w:pPr>
        <w:pStyle w:val="NormalWeb"/>
        <w:spacing w:before="86" w:beforeAutospacing="0" w:after="0" w:afterAutospacing="0"/>
        <w:jc w:val="center"/>
        <w:textAlignment w:val="baseline"/>
        <w:outlineLvl w:val="0"/>
        <w:rPr>
          <w:rFonts w:eastAsia="MS Mincho"/>
          <w:bCs/>
          <w:kern w:val="24"/>
          <w:sz w:val="20"/>
          <w:szCs w:val="20"/>
        </w:rPr>
      </w:pPr>
      <w:proofErr w:type="spellStart"/>
      <w:r>
        <w:rPr>
          <w:rFonts w:eastAsia="MS Mincho"/>
          <w:bCs/>
          <w:kern w:val="24"/>
          <w:sz w:val="20"/>
          <w:szCs w:val="20"/>
        </w:rPr>
        <w:t>Blasius</w:t>
      </w:r>
      <w:proofErr w:type="spellEnd"/>
      <w:r>
        <w:rPr>
          <w:rFonts w:eastAsia="MS Mincho"/>
          <w:bCs/>
          <w:kern w:val="24"/>
          <w:sz w:val="20"/>
          <w:szCs w:val="20"/>
        </w:rPr>
        <w:t xml:space="preserve"> </w:t>
      </w:r>
      <w:proofErr w:type="spellStart"/>
      <w:r>
        <w:rPr>
          <w:rFonts w:eastAsia="MS Mincho"/>
          <w:bCs/>
          <w:kern w:val="24"/>
          <w:sz w:val="20"/>
          <w:szCs w:val="20"/>
        </w:rPr>
        <w:t>Hasni</w:t>
      </w:r>
      <w:proofErr w:type="spellEnd"/>
      <w:r>
        <w:rPr>
          <w:rFonts w:eastAsia="MS Mincho"/>
          <w:bCs/>
          <w:kern w:val="24"/>
          <w:sz w:val="20"/>
          <w:szCs w:val="20"/>
        </w:rPr>
        <w:t xml:space="preserve"> D.*</w:t>
      </w:r>
      <w:r>
        <w:rPr>
          <w:rFonts w:eastAsia="MS Mincho"/>
          <w:bCs/>
          <w:kern w:val="24"/>
          <w:sz w:val="20"/>
          <w:szCs w:val="20"/>
          <w:vertAlign w:val="superscript"/>
        </w:rPr>
        <w:t>1</w:t>
      </w:r>
      <w:r>
        <w:rPr>
          <w:rFonts w:eastAsia="MS Mincho"/>
          <w:bCs/>
          <w:kern w:val="24"/>
          <w:sz w:val="20"/>
          <w:szCs w:val="20"/>
        </w:rPr>
        <w:t>, Sri Widati</w:t>
      </w:r>
      <w:r>
        <w:rPr>
          <w:rFonts w:eastAsia="MS Mincho"/>
          <w:bCs/>
          <w:kern w:val="24"/>
          <w:sz w:val="20"/>
          <w:szCs w:val="20"/>
          <w:vertAlign w:val="superscript"/>
        </w:rPr>
        <w:t>2</w:t>
      </w:r>
    </w:p>
    <w:p w14:paraId="293B0578" w14:textId="77777777" w:rsidR="0010291D" w:rsidRPr="00813EB9" w:rsidRDefault="0010291D" w:rsidP="00104C39">
      <w:pPr>
        <w:pStyle w:val="NormalWeb"/>
        <w:spacing w:before="86" w:beforeAutospacing="0" w:after="0" w:afterAutospacing="0"/>
        <w:textAlignment w:val="baseline"/>
        <w:outlineLvl w:val="0"/>
        <w:rPr>
          <w:rFonts w:eastAsia="MS Mincho"/>
          <w:b/>
          <w:bCs/>
          <w:kern w:val="24"/>
          <w:sz w:val="20"/>
          <w:szCs w:val="20"/>
        </w:rPr>
      </w:pPr>
    </w:p>
    <w:p w14:paraId="3A882E26" w14:textId="1FE47E38" w:rsidR="00584269" w:rsidRPr="00584269" w:rsidRDefault="00BD5714" w:rsidP="00584269">
      <w:pPr>
        <w:pStyle w:val="NormalWeb"/>
        <w:spacing w:before="86" w:beforeAutospacing="0" w:after="0" w:afterAutospacing="0"/>
        <w:jc w:val="center"/>
        <w:textAlignment w:val="baseline"/>
        <w:outlineLvl w:val="0"/>
        <w:rPr>
          <w:rFonts w:eastAsia="MS Mincho"/>
          <w:b/>
          <w:bCs/>
          <w:kern w:val="24"/>
          <w:sz w:val="20"/>
          <w:szCs w:val="20"/>
        </w:rPr>
      </w:pPr>
      <w:r w:rsidRPr="00F50129">
        <w:rPr>
          <w:rFonts w:eastAsia="MS Mincho"/>
          <w:b/>
          <w:bCs/>
          <w:kern w:val="24"/>
          <w:sz w:val="20"/>
          <w:szCs w:val="20"/>
        </w:rPr>
        <w:t>ABSTRAK</w:t>
      </w:r>
      <w:r w:rsidR="00DD19D4" w:rsidRPr="00F50129">
        <w:rPr>
          <w:rFonts w:eastAsia="MS Mincho"/>
          <w:b/>
          <w:bCs/>
          <w:kern w:val="24"/>
          <w:sz w:val="20"/>
          <w:szCs w:val="20"/>
        </w:rPr>
        <w:t xml:space="preserve"> </w:t>
      </w:r>
    </w:p>
    <w:p w14:paraId="1FD8C1B6" w14:textId="77777777" w:rsidR="00584269" w:rsidRDefault="00584269" w:rsidP="00DD19D4">
      <w:pPr>
        <w:pStyle w:val="NormalWeb"/>
        <w:spacing w:before="86" w:beforeAutospacing="0" w:after="0" w:afterAutospacing="0"/>
        <w:jc w:val="both"/>
        <w:textAlignment w:val="baseline"/>
        <w:rPr>
          <w:b/>
          <w:sz w:val="20"/>
          <w:szCs w:val="20"/>
        </w:rPr>
      </w:pPr>
    </w:p>
    <w:p w14:paraId="6CBF0A59" w14:textId="016DA29E" w:rsidR="0010291D" w:rsidRPr="00F50129" w:rsidRDefault="00C154E9" w:rsidP="00DD19D4">
      <w:pPr>
        <w:pStyle w:val="NormalWeb"/>
        <w:spacing w:before="86" w:beforeAutospacing="0" w:after="0" w:afterAutospacing="0"/>
        <w:jc w:val="both"/>
        <w:textAlignment w:val="baseline"/>
        <w:rPr>
          <w:sz w:val="20"/>
          <w:szCs w:val="20"/>
        </w:rPr>
      </w:pPr>
      <w:proofErr w:type="spellStart"/>
      <w:r w:rsidRPr="00F50129">
        <w:rPr>
          <w:b/>
          <w:sz w:val="20"/>
          <w:szCs w:val="20"/>
        </w:rPr>
        <w:t>Latar</w:t>
      </w:r>
      <w:proofErr w:type="spellEnd"/>
      <w:r w:rsidRPr="00F50129">
        <w:rPr>
          <w:b/>
          <w:sz w:val="20"/>
          <w:szCs w:val="20"/>
        </w:rPr>
        <w:t xml:space="preserve"> </w:t>
      </w:r>
      <w:proofErr w:type="spellStart"/>
      <w:r w:rsidRPr="00F50129">
        <w:rPr>
          <w:b/>
          <w:sz w:val="20"/>
          <w:szCs w:val="20"/>
        </w:rPr>
        <w:t>Belakang</w:t>
      </w:r>
      <w:proofErr w:type="spellEnd"/>
      <w:r w:rsidR="00DD328C" w:rsidRPr="00F50129">
        <w:rPr>
          <w:b/>
          <w:sz w:val="20"/>
          <w:szCs w:val="20"/>
        </w:rPr>
        <w:t>:</w:t>
      </w:r>
      <w:r w:rsidR="00DD328C" w:rsidRPr="00F50129">
        <w:rPr>
          <w:sz w:val="20"/>
          <w:szCs w:val="20"/>
        </w:rPr>
        <w:t xml:space="preserve"> </w:t>
      </w:r>
      <w:proofErr w:type="spellStart"/>
      <w:r w:rsidR="00B9599C">
        <w:rPr>
          <w:sz w:val="20"/>
          <w:szCs w:val="20"/>
        </w:rPr>
        <w:t>Merokok</w:t>
      </w:r>
      <w:proofErr w:type="spellEnd"/>
      <w:r w:rsidR="00B9599C">
        <w:rPr>
          <w:sz w:val="20"/>
          <w:szCs w:val="20"/>
        </w:rPr>
        <w:t xml:space="preserve"> </w:t>
      </w:r>
      <w:proofErr w:type="spellStart"/>
      <w:r w:rsidR="00B9599C">
        <w:rPr>
          <w:sz w:val="20"/>
          <w:szCs w:val="20"/>
        </w:rPr>
        <w:t>memiliki</w:t>
      </w:r>
      <w:proofErr w:type="spellEnd"/>
      <w:r w:rsidR="00B9599C">
        <w:rPr>
          <w:sz w:val="20"/>
          <w:szCs w:val="20"/>
        </w:rPr>
        <w:t xml:space="preserve"> </w:t>
      </w:r>
      <w:proofErr w:type="spellStart"/>
      <w:r w:rsidR="00B9599C">
        <w:rPr>
          <w:sz w:val="20"/>
          <w:szCs w:val="20"/>
        </w:rPr>
        <w:t>dampak</w:t>
      </w:r>
      <w:proofErr w:type="spellEnd"/>
      <w:r w:rsidR="00B9599C">
        <w:rPr>
          <w:sz w:val="20"/>
          <w:szCs w:val="20"/>
        </w:rPr>
        <w:t xml:space="preserve"> </w:t>
      </w:r>
      <w:proofErr w:type="spellStart"/>
      <w:r w:rsidR="00B9599C">
        <w:rPr>
          <w:sz w:val="20"/>
          <w:szCs w:val="20"/>
        </w:rPr>
        <w:t>negatif</w:t>
      </w:r>
      <w:proofErr w:type="spellEnd"/>
      <w:r w:rsidR="00B9599C">
        <w:rPr>
          <w:sz w:val="20"/>
          <w:szCs w:val="20"/>
        </w:rPr>
        <w:t xml:space="preserve"> </w:t>
      </w:r>
      <w:proofErr w:type="spellStart"/>
      <w:r w:rsidR="00B9599C">
        <w:rPr>
          <w:sz w:val="20"/>
          <w:szCs w:val="20"/>
        </w:rPr>
        <w:t>bagi</w:t>
      </w:r>
      <w:proofErr w:type="spellEnd"/>
      <w:r w:rsidR="00B9599C">
        <w:rPr>
          <w:sz w:val="20"/>
          <w:szCs w:val="20"/>
        </w:rPr>
        <w:t xml:space="preserve"> </w:t>
      </w:r>
      <w:proofErr w:type="spellStart"/>
      <w:r w:rsidR="00B9599C">
        <w:rPr>
          <w:sz w:val="20"/>
          <w:szCs w:val="20"/>
        </w:rPr>
        <w:t>kesehatan</w:t>
      </w:r>
      <w:proofErr w:type="spellEnd"/>
      <w:r w:rsidR="00B9599C">
        <w:rPr>
          <w:sz w:val="20"/>
          <w:szCs w:val="20"/>
        </w:rPr>
        <w:t xml:space="preserve"> </w:t>
      </w:r>
      <w:proofErr w:type="spellStart"/>
      <w:r w:rsidR="00B9599C">
        <w:rPr>
          <w:sz w:val="20"/>
          <w:szCs w:val="20"/>
        </w:rPr>
        <w:t>pada</w:t>
      </w:r>
      <w:proofErr w:type="spellEnd"/>
      <w:r w:rsidR="00B9599C">
        <w:rPr>
          <w:sz w:val="20"/>
          <w:szCs w:val="20"/>
        </w:rPr>
        <w:t xml:space="preserve"> </w:t>
      </w:r>
      <w:proofErr w:type="spellStart"/>
      <w:r w:rsidR="00B9599C">
        <w:rPr>
          <w:sz w:val="20"/>
          <w:szCs w:val="20"/>
        </w:rPr>
        <w:t>semua</w:t>
      </w:r>
      <w:proofErr w:type="spellEnd"/>
      <w:r w:rsidR="00B9599C">
        <w:rPr>
          <w:sz w:val="20"/>
          <w:szCs w:val="20"/>
        </w:rPr>
        <w:t xml:space="preserve"> </w:t>
      </w:r>
      <w:proofErr w:type="spellStart"/>
      <w:r w:rsidR="00B9599C">
        <w:rPr>
          <w:sz w:val="20"/>
          <w:szCs w:val="20"/>
        </w:rPr>
        <w:t>usia</w:t>
      </w:r>
      <w:proofErr w:type="spellEnd"/>
      <w:r w:rsidR="00B9599C">
        <w:rPr>
          <w:sz w:val="20"/>
          <w:szCs w:val="20"/>
        </w:rPr>
        <w:t xml:space="preserve">, </w:t>
      </w:r>
      <w:proofErr w:type="spellStart"/>
      <w:r w:rsidR="00B9599C">
        <w:rPr>
          <w:sz w:val="20"/>
          <w:szCs w:val="20"/>
        </w:rPr>
        <w:t>termasuk</w:t>
      </w:r>
      <w:proofErr w:type="spellEnd"/>
      <w:r w:rsidR="00B9599C">
        <w:rPr>
          <w:sz w:val="20"/>
          <w:szCs w:val="20"/>
        </w:rPr>
        <w:t xml:space="preserve"> </w:t>
      </w:r>
      <w:proofErr w:type="spellStart"/>
      <w:r w:rsidR="00B9599C">
        <w:rPr>
          <w:sz w:val="20"/>
          <w:szCs w:val="20"/>
        </w:rPr>
        <w:t>remaja</w:t>
      </w:r>
      <w:proofErr w:type="spellEnd"/>
      <w:r w:rsidR="00B9599C">
        <w:rPr>
          <w:sz w:val="20"/>
          <w:szCs w:val="20"/>
        </w:rPr>
        <w:t xml:space="preserve">. </w:t>
      </w:r>
      <w:proofErr w:type="spellStart"/>
      <w:r w:rsidR="00B9599C">
        <w:rPr>
          <w:sz w:val="20"/>
          <w:szCs w:val="20"/>
        </w:rPr>
        <w:t>Dengan</w:t>
      </w:r>
      <w:proofErr w:type="spellEnd"/>
      <w:r w:rsidR="00B9599C">
        <w:rPr>
          <w:sz w:val="20"/>
          <w:szCs w:val="20"/>
        </w:rPr>
        <w:t xml:space="preserve"> </w:t>
      </w:r>
      <w:proofErr w:type="spellStart"/>
      <w:r w:rsidR="00B9599C">
        <w:rPr>
          <w:sz w:val="20"/>
          <w:szCs w:val="20"/>
        </w:rPr>
        <w:t>kemajuan</w:t>
      </w:r>
      <w:proofErr w:type="spellEnd"/>
      <w:r w:rsidR="00B9599C">
        <w:rPr>
          <w:sz w:val="20"/>
          <w:szCs w:val="20"/>
        </w:rPr>
        <w:t xml:space="preserve"> </w:t>
      </w:r>
      <w:proofErr w:type="spellStart"/>
      <w:r w:rsidR="00B9599C">
        <w:rPr>
          <w:sz w:val="20"/>
          <w:szCs w:val="20"/>
        </w:rPr>
        <w:t>teknologi</w:t>
      </w:r>
      <w:proofErr w:type="spellEnd"/>
      <w:r w:rsidR="00B9599C">
        <w:rPr>
          <w:sz w:val="20"/>
          <w:szCs w:val="20"/>
        </w:rPr>
        <w:t xml:space="preserve">, </w:t>
      </w:r>
      <w:proofErr w:type="spellStart"/>
      <w:r w:rsidR="00B9599C">
        <w:rPr>
          <w:sz w:val="20"/>
          <w:szCs w:val="20"/>
        </w:rPr>
        <w:t>rokok</w:t>
      </w:r>
      <w:proofErr w:type="spellEnd"/>
      <w:r w:rsidR="00B9599C">
        <w:rPr>
          <w:sz w:val="20"/>
          <w:szCs w:val="20"/>
        </w:rPr>
        <w:t xml:space="preserve"> </w:t>
      </w:r>
      <w:proofErr w:type="spellStart"/>
      <w:r w:rsidR="00B9599C">
        <w:rPr>
          <w:sz w:val="20"/>
          <w:szCs w:val="20"/>
        </w:rPr>
        <w:t>memiliki</w:t>
      </w:r>
      <w:proofErr w:type="spellEnd"/>
      <w:r w:rsidR="00B9599C">
        <w:rPr>
          <w:sz w:val="20"/>
          <w:szCs w:val="20"/>
        </w:rPr>
        <w:t xml:space="preserve"> </w:t>
      </w:r>
      <w:proofErr w:type="spellStart"/>
      <w:r w:rsidR="00B9599C">
        <w:rPr>
          <w:sz w:val="20"/>
          <w:szCs w:val="20"/>
        </w:rPr>
        <w:t>variasi</w:t>
      </w:r>
      <w:proofErr w:type="spellEnd"/>
      <w:r w:rsidR="00B9599C">
        <w:rPr>
          <w:sz w:val="20"/>
          <w:szCs w:val="20"/>
        </w:rPr>
        <w:t xml:space="preserve"> </w:t>
      </w:r>
      <w:proofErr w:type="spellStart"/>
      <w:r w:rsidR="00B9599C">
        <w:rPr>
          <w:sz w:val="20"/>
          <w:szCs w:val="20"/>
        </w:rPr>
        <w:t>baru</w:t>
      </w:r>
      <w:proofErr w:type="spellEnd"/>
      <w:r w:rsidR="00B9599C">
        <w:rPr>
          <w:sz w:val="20"/>
          <w:szCs w:val="20"/>
        </w:rPr>
        <w:t xml:space="preserve"> yang </w:t>
      </w:r>
      <w:proofErr w:type="spellStart"/>
      <w:r w:rsidR="00B9599C">
        <w:rPr>
          <w:sz w:val="20"/>
          <w:szCs w:val="20"/>
        </w:rPr>
        <w:t>disebut</w:t>
      </w:r>
      <w:proofErr w:type="spellEnd"/>
      <w:r w:rsidR="00B9599C">
        <w:rPr>
          <w:sz w:val="20"/>
          <w:szCs w:val="20"/>
        </w:rPr>
        <w:t xml:space="preserve"> </w:t>
      </w:r>
      <w:proofErr w:type="spellStart"/>
      <w:r w:rsidR="00B9599C">
        <w:rPr>
          <w:sz w:val="20"/>
          <w:szCs w:val="20"/>
        </w:rPr>
        <w:t>rokok</w:t>
      </w:r>
      <w:proofErr w:type="spellEnd"/>
      <w:r w:rsidR="00B9599C">
        <w:rPr>
          <w:sz w:val="20"/>
          <w:szCs w:val="20"/>
        </w:rPr>
        <w:t xml:space="preserve"> </w:t>
      </w:r>
      <w:proofErr w:type="spellStart"/>
      <w:r w:rsidR="00B9599C">
        <w:rPr>
          <w:sz w:val="20"/>
          <w:szCs w:val="20"/>
        </w:rPr>
        <w:t>elektrik</w:t>
      </w:r>
      <w:proofErr w:type="spellEnd"/>
      <w:r w:rsidR="00B9599C">
        <w:rPr>
          <w:sz w:val="20"/>
          <w:szCs w:val="20"/>
        </w:rPr>
        <w:t xml:space="preserve"> (</w:t>
      </w:r>
      <w:proofErr w:type="spellStart"/>
      <w:r w:rsidR="00B9599C" w:rsidRPr="00B9599C">
        <w:rPr>
          <w:i/>
          <w:iCs/>
          <w:sz w:val="20"/>
          <w:szCs w:val="20"/>
        </w:rPr>
        <w:t>vape</w:t>
      </w:r>
      <w:proofErr w:type="spellEnd"/>
      <w:r w:rsidR="00B9599C">
        <w:rPr>
          <w:sz w:val="20"/>
          <w:szCs w:val="20"/>
        </w:rPr>
        <w:t xml:space="preserve">). </w:t>
      </w:r>
      <w:proofErr w:type="spellStart"/>
      <w:r w:rsidR="00B9599C">
        <w:rPr>
          <w:sz w:val="20"/>
          <w:szCs w:val="20"/>
        </w:rPr>
        <w:t>Namun</w:t>
      </w:r>
      <w:proofErr w:type="spellEnd"/>
      <w:r w:rsidR="00B9599C">
        <w:rPr>
          <w:sz w:val="20"/>
          <w:szCs w:val="20"/>
        </w:rPr>
        <w:t xml:space="preserve">, </w:t>
      </w:r>
      <w:proofErr w:type="spellStart"/>
      <w:r w:rsidR="00B9599C">
        <w:rPr>
          <w:sz w:val="20"/>
          <w:szCs w:val="20"/>
        </w:rPr>
        <w:t>Badan</w:t>
      </w:r>
      <w:proofErr w:type="spellEnd"/>
      <w:r w:rsidR="00B9599C">
        <w:rPr>
          <w:sz w:val="20"/>
          <w:szCs w:val="20"/>
        </w:rPr>
        <w:t xml:space="preserve"> </w:t>
      </w:r>
      <w:proofErr w:type="spellStart"/>
      <w:r w:rsidR="00B9599C">
        <w:rPr>
          <w:sz w:val="20"/>
          <w:szCs w:val="20"/>
        </w:rPr>
        <w:t>Pengawas</w:t>
      </w:r>
      <w:proofErr w:type="spellEnd"/>
      <w:r w:rsidR="00B9599C">
        <w:rPr>
          <w:sz w:val="20"/>
          <w:szCs w:val="20"/>
        </w:rPr>
        <w:t xml:space="preserve"> </w:t>
      </w:r>
      <w:proofErr w:type="spellStart"/>
      <w:r w:rsidR="00B9599C">
        <w:rPr>
          <w:sz w:val="20"/>
          <w:szCs w:val="20"/>
        </w:rPr>
        <w:t>Obat</w:t>
      </w:r>
      <w:proofErr w:type="spellEnd"/>
      <w:r w:rsidR="00B9599C">
        <w:rPr>
          <w:sz w:val="20"/>
          <w:szCs w:val="20"/>
        </w:rPr>
        <w:t xml:space="preserve"> </w:t>
      </w:r>
      <w:proofErr w:type="spellStart"/>
      <w:r w:rsidR="00B9599C">
        <w:rPr>
          <w:sz w:val="20"/>
          <w:szCs w:val="20"/>
        </w:rPr>
        <w:t>dan</w:t>
      </w:r>
      <w:proofErr w:type="spellEnd"/>
      <w:r w:rsidR="00B9599C">
        <w:rPr>
          <w:sz w:val="20"/>
          <w:szCs w:val="20"/>
        </w:rPr>
        <w:t xml:space="preserve"> </w:t>
      </w:r>
      <w:proofErr w:type="spellStart"/>
      <w:r w:rsidR="00B9599C">
        <w:rPr>
          <w:sz w:val="20"/>
          <w:szCs w:val="20"/>
        </w:rPr>
        <w:t>Makanan</w:t>
      </w:r>
      <w:proofErr w:type="spellEnd"/>
      <w:r w:rsidR="00B9599C">
        <w:rPr>
          <w:sz w:val="20"/>
          <w:szCs w:val="20"/>
        </w:rPr>
        <w:t xml:space="preserve"> </w:t>
      </w:r>
      <w:proofErr w:type="spellStart"/>
      <w:r w:rsidR="00B9599C">
        <w:rPr>
          <w:sz w:val="20"/>
          <w:szCs w:val="20"/>
        </w:rPr>
        <w:t>dari</w:t>
      </w:r>
      <w:proofErr w:type="spellEnd"/>
      <w:r w:rsidR="00B9599C">
        <w:rPr>
          <w:sz w:val="20"/>
          <w:szCs w:val="20"/>
        </w:rPr>
        <w:t xml:space="preserve"> </w:t>
      </w:r>
      <w:proofErr w:type="spellStart"/>
      <w:r w:rsidR="00960BFE">
        <w:rPr>
          <w:sz w:val="20"/>
          <w:szCs w:val="20"/>
        </w:rPr>
        <w:t>Amerika</w:t>
      </w:r>
      <w:proofErr w:type="spellEnd"/>
      <w:r w:rsidR="00B9599C">
        <w:rPr>
          <w:sz w:val="20"/>
          <w:szCs w:val="20"/>
        </w:rPr>
        <w:t xml:space="preserve"> (FDA) </w:t>
      </w:r>
      <w:proofErr w:type="spellStart"/>
      <w:r w:rsidR="00B9599C">
        <w:rPr>
          <w:sz w:val="20"/>
          <w:szCs w:val="20"/>
        </w:rPr>
        <w:t>mulai</w:t>
      </w:r>
      <w:proofErr w:type="spellEnd"/>
      <w:r w:rsidR="00B9599C">
        <w:rPr>
          <w:sz w:val="20"/>
          <w:szCs w:val="20"/>
        </w:rPr>
        <w:t xml:space="preserve"> </w:t>
      </w:r>
      <w:proofErr w:type="spellStart"/>
      <w:r w:rsidR="00B9599C">
        <w:rPr>
          <w:sz w:val="20"/>
          <w:szCs w:val="20"/>
        </w:rPr>
        <w:t>melarang</w:t>
      </w:r>
      <w:proofErr w:type="spellEnd"/>
      <w:r w:rsidR="00B9599C">
        <w:rPr>
          <w:sz w:val="20"/>
          <w:szCs w:val="20"/>
        </w:rPr>
        <w:t xml:space="preserve"> </w:t>
      </w:r>
      <w:proofErr w:type="spellStart"/>
      <w:r w:rsidR="00B9599C">
        <w:rPr>
          <w:sz w:val="20"/>
          <w:szCs w:val="20"/>
        </w:rPr>
        <w:t>penggunaan</w:t>
      </w:r>
      <w:proofErr w:type="spellEnd"/>
      <w:r w:rsidR="00B9599C">
        <w:rPr>
          <w:sz w:val="20"/>
          <w:szCs w:val="20"/>
        </w:rPr>
        <w:t xml:space="preserve"> </w:t>
      </w:r>
      <w:proofErr w:type="spellStart"/>
      <w:r w:rsidR="00B9599C">
        <w:rPr>
          <w:sz w:val="20"/>
          <w:szCs w:val="20"/>
        </w:rPr>
        <w:t>rokok</w:t>
      </w:r>
      <w:proofErr w:type="spellEnd"/>
      <w:r w:rsidR="00B9599C">
        <w:rPr>
          <w:sz w:val="20"/>
          <w:szCs w:val="20"/>
        </w:rPr>
        <w:t xml:space="preserve"> </w:t>
      </w:r>
      <w:proofErr w:type="spellStart"/>
      <w:r w:rsidR="00B9599C">
        <w:rPr>
          <w:sz w:val="20"/>
          <w:szCs w:val="20"/>
        </w:rPr>
        <w:t>elektrik</w:t>
      </w:r>
      <w:proofErr w:type="spellEnd"/>
      <w:r w:rsidR="00B9599C">
        <w:rPr>
          <w:sz w:val="20"/>
          <w:szCs w:val="20"/>
        </w:rPr>
        <w:t xml:space="preserve"> </w:t>
      </w:r>
      <w:proofErr w:type="spellStart"/>
      <w:r w:rsidR="00B9599C">
        <w:rPr>
          <w:sz w:val="20"/>
          <w:szCs w:val="20"/>
        </w:rPr>
        <w:t>karena</w:t>
      </w:r>
      <w:proofErr w:type="spellEnd"/>
      <w:r w:rsidR="00B9599C">
        <w:rPr>
          <w:sz w:val="20"/>
          <w:szCs w:val="20"/>
        </w:rPr>
        <w:t xml:space="preserve"> </w:t>
      </w:r>
      <w:proofErr w:type="spellStart"/>
      <w:r w:rsidR="00B9599C">
        <w:rPr>
          <w:sz w:val="20"/>
          <w:szCs w:val="20"/>
        </w:rPr>
        <w:t>didalamnya</w:t>
      </w:r>
      <w:proofErr w:type="spellEnd"/>
      <w:r w:rsidR="00B9599C">
        <w:rPr>
          <w:sz w:val="20"/>
          <w:szCs w:val="20"/>
        </w:rPr>
        <w:t xml:space="preserve"> </w:t>
      </w:r>
      <w:proofErr w:type="spellStart"/>
      <w:r w:rsidR="00B9599C" w:rsidRPr="00B9599C">
        <w:rPr>
          <w:sz w:val="20"/>
          <w:szCs w:val="20"/>
        </w:rPr>
        <w:t>mengandung</w:t>
      </w:r>
      <w:proofErr w:type="spellEnd"/>
      <w:r w:rsidR="00B9599C" w:rsidRPr="00B9599C">
        <w:rPr>
          <w:sz w:val="20"/>
          <w:szCs w:val="20"/>
        </w:rPr>
        <w:t xml:space="preserve"> </w:t>
      </w:r>
      <w:r w:rsidR="00B9599C" w:rsidRPr="00B9599C">
        <w:rPr>
          <w:i/>
          <w:iCs/>
          <w:sz w:val="20"/>
          <w:szCs w:val="20"/>
        </w:rPr>
        <w:t>tobacco specific nitrosamines</w:t>
      </w:r>
      <w:r w:rsidR="00B9599C" w:rsidRPr="00B9599C">
        <w:rPr>
          <w:sz w:val="20"/>
          <w:szCs w:val="20"/>
        </w:rPr>
        <w:t xml:space="preserve"> (TSNA) yang </w:t>
      </w:r>
      <w:proofErr w:type="spellStart"/>
      <w:r w:rsidR="00B9599C" w:rsidRPr="00B9599C">
        <w:rPr>
          <w:sz w:val="20"/>
          <w:szCs w:val="20"/>
        </w:rPr>
        <w:t>bersifat</w:t>
      </w:r>
      <w:proofErr w:type="spellEnd"/>
      <w:r w:rsidR="00B9599C" w:rsidRPr="00B9599C">
        <w:rPr>
          <w:sz w:val="20"/>
          <w:szCs w:val="20"/>
        </w:rPr>
        <w:t xml:space="preserve"> </w:t>
      </w:r>
      <w:proofErr w:type="spellStart"/>
      <w:r w:rsidR="00B9599C" w:rsidRPr="00B9599C">
        <w:rPr>
          <w:sz w:val="20"/>
          <w:szCs w:val="20"/>
        </w:rPr>
        <w:t>toksik</w:t>
      </w:r>
      <w:proofErr w:type="spellEnd"/>
      <w:r w:rsidR="00B9599C" w:rsidRPr="00B9599C">
        <w:rPr>
          <w:sz w:val="20"/>
          <w:szCs w:val="20"/>
        </w:rPr>
        <w:t xml:space="preserve"> </w:t>
      </w:r>
      <w:proofErr w:type="spellStart"/>
      <w:r w:rsidR="00B9599C" w:rsidRPr="00B9599C">
        <w:rPr>
          <w:sz w:val="20"/>
          <w:szCs w:val="20"/>
        </w:rPr>
        <w:t>dan</w:t>
      </w:r>
      <w:proofErr w:type="spellEnd"/>
      <w:r w:rsidR="00B9599C" w:rsidRPr="00B9599C">
        <w:rPr>
          <w:sz w:val="20"/>
          <w:szCs w:val="20"/>
        </w:rPr>
        <w:t xml:space="preserve"> </w:t>
      </w:r>
      <w:proofErr w:type="spellStart"/>
      <w:r w:rsidR="00B9599C" w:rsidRPr="00B9599C">
        <w:rPr>
          <w:i/>
          <w:iCs/>
          <w:sz w:val="20"/>
          <w:szCs w:val="20"/>
        </w:rPr>
        <w:t>diethylene</w:t>
      </w:r>
      <w:proofErr w:type="spellEnd"/>
      <w:r w:rsidR="00B9599C" w:rsidRPr="00B9599C">
        <w:rPr>
          <w:i/>
          <w:iCs/>
          <w:sz w:val="20"/>
          <w:szCs w:val="20"/>
        </w:rPr>
        <w:t xml:space="preserve"> glycol</w:t>
      </w:r>
      <w:r w:rsidR="00B9599C" w:rsidRPr="00B9599C">
        <w:rPr>
          <w:sz w:val="20"/>
          <w:szCs w:val="20"/>
        </w:rPr>
        <w:t xml:space="preserve"> (DEG)</w:t>
      </w:r>
      <w:r w:rsidR="00B9599C">
        <w:rPr>
          <w:sz w:val="20"/>
          <w:szCs w:val="20"/>
        </w:rPr>
        <w:t xml:space="preserve"> </w:t>
      </w:r>
      <w:r w:rsidR="00B9599C" w:rsidRPr="00B9599C">
        <w:rPr>
          <w:sz w:val="20"/>
          <w:szCs w:val="20"/>
        </w:rPr>
        <w:t xml:space="preserve">yang </w:t>
      </w:r>
      <w:proofErr w:type="spellStart"/>
      <w:r w:rsidR="00B9599C" w:rsidRPr="00B9599C">
        <w:rPr>
          <w:sz w:val="20"/>
          <w:szCs w:val="20"/>
        </w:rPr>
        <w:t>dikenal</w:t>
      </w:r>
      <w:proofErr w:type="spellEnd"/>
      <w:r w:rsidR="00B9599C" w:rsidRPr="00B9599C">
        <w:rPr>
          <w:sz w:val="20"/>
          <w:szCs w:val="20"/>
        </w:rPr>
        <w:t xml:space="preserve"> </w:t>
      </w:r>
      <w:proofErr w:type="spellStart"/>
      <w:r w:rsidR="00B9599C" w:rsidRPr="00B9599C">
        <w:rPr>
          <w:sz w:val="20"/>
          <w:szCs w:val="20"/>
        </w:rPr>
        <w:t>sebagai</w:t>
      </w:r>
      <w:proofErr w:type="spellEnd"/>
      <w:r w:rsidR="00B9599C" w:rsidRPr="00B9599C">
        <w:rPr>
          <w:sz w:val="20"/>
          <w:szCs w:val="20"/>
        </w:rPr>
        <w:t xml:space="preserve"> </w:t>
      </w:r>
      <w:proofErr w:type="spellStart"/>
      <w:r w:rsidR="00B9599C" w:rsidRPr="00B9599C">
        <w:rPr>
          <w:sz w:val="20"/>
          <w:szCs w:val="20"/>
        </w:rPr>
        <w:t>karsinogen</w:t>
      </w:r>
      <w:proofErr w:type="spellEnd"/>
      <w:r w:rsidR="00B9599C" w:rsidRPr="00B9599C">
        <w:rPr>
          <w:sz w:val="20"/>
          <w:szCs w:val="20"/>
        </w:rPr>
        <w:t xml:space="preserve"> yang </w:t>
      </w:r>
      <w:proofErr w:type="spellStart"/>
      <w:r w:rsidR="00B9599C" w:rsidRPr="00B9599C">
        <w:rPr>
          <w:sz w:val="20"/>
          <w:szCs w:val="20"/>
        </w:rPr>
        <w:t>terdapat</w:t>
      </w:r>
      <w:proofErr w:type="spellEnd"/>
      <w:r w:rsidR="00B9599C" w:rsidRPr="00B9599C">
        <w:rPr>
          <w:sz w:val="20"/>
          <w:szCs w:val="20"/>
        </w:rPr>
        <w:t xml:space="preserve"> </w:t>
      </w:r>
      <w:proofErr w:type="spellStart"/>
      <w:r w:rsidR="00B9599C" w:rsidRPr="00B9599C">
        <w:rPr>
          <w:sz w:val="20"/>
          <w:szCs w:val="20"/>
        </w:rPr>
        <w:t>pada</w:t>
      </w:r>
      <w:proofErr w:type="spellEnd"/>
      <w:r w:rsidR="00B9599C" w:rsidRPr="00B9599C">
        <w:rPr>
          <w:sz w:val="20"/>
          <w:szCs w:val="20"/>
        </w:rPr>
        <w:t xml:space="preserve"> </w:t>
      </w:r>
      <w:proofErr w:type="spellStart"/>
      <w:r w:rsidR="00B9599C" w:rsidRPr="00B9599C">
        <w:rPr>
          <w:sz w:val="20"/>
          <w:szCs w:val="20"/>
        </w:rPr>
        <w:t>tembakau</w:t>
      </w:r>
      <w:proofErr w:type="spellEnd"/>
      <w:r w:rsidR="00B9599C">
        <w:rPr>
          <w:sz w:val="20"/>
          <w:szCs w:val="20"/>
        </w:rPr>
        <w:t xml:space="preserve">. </w:t>
      </w:r>
      <w:proofErr w:type="spellStart"/>
      <w:r w:rsidR="00B9599C">
        <w:rPr>
          <w:sz w:val="20"/>
          <w:szCs w:val="20"/>
        </w:rPr>
        <w:t>Namun</w:t>
      </w:r>
      <w:proofErr w:type="spellEnd"/>
      <w:r w:rsidR="00B9599C">
        <w:rPr>
          <w:sz w:val="20"/>
          <w:szCs w:val="20"/>
        </w:rPr>
        <w:t>,</w:t>
      </w:r>
      <w:r w:rsidR="00884202">
        <w:rPr>
          <w:sz w:val="20"/>
          <w:szCs w:val="20"/>
        </w:rPr>
        <w:t xml:space="preserve"> </w:t>
      </w:r>
      <w:proofErr w:type="spellStart"/>
      <w:r w:rsidR="00960BFE">
        <w:rPr>
          <w:sz w:val="20"/>
          <w:szCs w:val="20"/>
        </w:rPr>
        <w:t>r</w:t>
      </w:r>
      <w:r w:rsidR="00960BFE" w:rsidRPr="00960BFE">
        <w:rPr>
          <w:sz w:val="20"/>
          <w:szCs w:val="20"/>
        </w:rPr>
        <w:t>okok</w:t>
      </w:r>
      <w:proofErr w:type="spellEnd"/>
      <w:r w:rsidR="00960BFE" w:rsidRPr="00960BFE">
        <w:rPr>
          <w:sz w:val="20"/>
          <w:szCs w:val="20"/>
        </w:rPr>
        <w:t xml:space="preserve"> </w:t>
      </w:r>
      <w:proofErr w:type="spellStart"/>
      <w:r w:rsidR="00960BFE" w:rsidRPr="00960BFE">
        <w:rPr>
          <w:sz w:val="20"/>
          <w:szCs w:val="20"/>
        </w:rPr>
        <w:t>elektrik</w:t>
      </w:r>
      <w:proofErr w:type="spellEnd"/>
      <w:r w:rsidR="00960BFE" w:rsidRPr="00960BFE">
        <w:rPr>
          <w:sz w:val="20"/>
          <w:szCs w:val="20"/>
        </w:rPr>
        <w:t xml:space="preserve"> di Indonesia </w:t>
      </w:r>
      <w:proofErr w:type="spellStart"/>
      <w:r w:rsidR="00960BFE" w:rsidRPr="00960BFE">
        <w:rPr>
          <w:sz w:val="20"/>
          <w:szCs w:val="20"/>
        </w:rPr>
        <w:t>saat</w:t>
      </w:r>
      <w:proofErr w:type="spellEnd"/>
      <w:r w:rsidR="00960BFE" w:rsidRPr="00960BFE">
        <w:rPr>
          <w:sz w:val="20"/>
          <w:szCs w:val="20"/>
        </w:rPr>
        <w:t xml:space="preserve"> </w:t>
      </w:r>
      <w:proofErr w:type="spellStart"/>
      <w:r w:rsidR="00960BFE" w:rsidRPr="00960BFE">
        <w:rPr>
          <w:sz w:val="20"/>
          <w:szCs w:val="20"/>
        </w:rPr>
        <w:t>ini</w:t>
      </w:r>
      <w:proofErr w:type="spellEnd"/>
      <w:r w:rsidR="00960BFE" w:rsidRPr="00960BFE">
        <w:rPr>
          <w:sz w:val="20"/>
          <w:szCs w:val="20"/>
        </w:rPr>
        <w:t xml:space="preserve"> </w:t>
      </w:r>
      <w:proofErr w:type="spellStart"/>
      <w:r w:rsidR="00960BFE" w:rsidRPr="00960BFE">
        <w:rPr>
          <w:sz w:val="20"/>
          <w:szCs w:val="20"/>
        </w:rPr>
        <w:t>menjadi</w:t>
      </w:r>
      <w:proofErr w:type="spellEnd"/>
      <w:r w:rsidR="00960BFE" w:rsidRPr="00960BFE">
        <w:rPr>
          <w:sz w:val="20"/>
          <w:szCs w:val="20"/>
        </w:rPr>
        <w:t xml:space="preserve"> </w:t>
      </w:r>
      <w:proofErr w:type="spellStart"/>
      <w:r w:rsidR="00960BFE" w:rsidRPr="00960BFE">
        <w:rPr>
          <w:sz w:val="20"/>
          <w:szCs w:val="20"/>
        </w:rPr>
        <w:t>sebuah</w:t>
      </w:r>
      <w:proofErr w:type="spellEnd"/>
      <w:r w:rsidR="00960BFE" w:rsidRPr="00960BFE">
        <w:rPr>
          <w:sz w:val="20"/>
          <w:szCs w:val="20"/>
        </w:rPr>
        <w:t xml:space="preserve"> </w:t>
      </w:r>
      <w:proofErr w:type="spellStart"/>
      <w:r w:rsidR="00960BFE" w:rsidRPr="00960BFE">
        <w:rPr>
          <w:sz w:val="20"/>
          <w:szCs w:val="20"/>
        </w:rPr>
        <w:t>tren</w:t>
      </w:r>
      <w:proofErr w:type="spellEnd"/>
      <w:r w:rsidR="00960BFE" w:rsidRPr="00960BFE">
        <w:rPr>
          <w:sz w:val="20"/>
          <w:szCs w:val="20"/>
        </w:rPr>
        <w:t xml:space="preserve"> </w:t>
      </w:r>
      <w:proofErr w:type="spellStart"/>
      <w:r w:rsidR="00960BFE" w:rsidRPr="00960BFE">
        <w:rPr>
          <w:sz w:val="20"/>
          <w:szCs w:val="20"/>
        </w:rPr>
        <w:t>dengan</w:t>
      </w:r>
      <w:proofErr w:type="spellEnd"/>
      <w:r w:rsidR="00960BFE" w:rsidRPr="00960BFE">
        <w:rPr>
          <w:sz w:val="20"/>
          <w:szCs w:val="20"/>
        </w:rPr>
        <w:t xml:space="preserve"> </w:t>
      </w:r>
      <w:proofErr w:type="spellStart"/>
      <w:r w:rsidR="00960BFE" w:rsidRPr="00960BFE">
        <w:rPr>
          <w:sz w:val="20"/>
          <w:szCs w:val="20"/>
        </w:rPr>
        <w:t>peminat</w:t>
      </w:r>
      <w:proofErr w:type="spellEnd"/>
      <w:r w:rsidR="00960BFE" w:rsidRPr="00960BFE">
        <w:rPr>
          <w:sz w:val="20"/>
          <w:szCs w:val="20"/>
        </w:rPr>
        <w:t xml:space="preserve"> yang </w:t>
      </w:r>
      <w:proofErr w:type="spellStart"/>
      <w:r w:rsidR="00960BFE" w:rsidRPr="00960BFE">
        <w:rPr>
          <w:sz w:val="20"/>
          <w:szCs w:val="20"/>
        </w:rPr>
        <w:t>semakin</w:t>
      </w:r>
      <w:proofErr w:type="spellEnd"/>
      <w:r w:rsidR="00960BFE" w:rsidRPr="00960BFE">
        <w:rPr>
          <w:sz w:val="20"/>
          <w:szCs w:val="20"/>
        </w:rPr>
        <w:t xml:space="preserve"> </w:t>
      </w:r>
      <w:proofErr w:type="spellStart"/>
      <w:r w:rsidR="00960BFE" w:rsidRPr="00960BFE">
        <w:rPr>
          <w:sz w:val="20"/>
          <w:szCs w:val="20"/>
        </w:rPr>
        <w:t>banyak</w:t>
      </w:r>
      <w:proofErr w:type="spellEnd"/>
      <w:r w:rsidR="00B9599C">
        <w:rPr>
          <w:sz w:val="20"/>
          <w:szCs w:val="20"/>
        </w:rPr>
        <w:t>.</w:t>
      </w:r>
    </w:p>
    <w:p w14:paraId="77FCD697" w14:textId="03F038AB" w:rsidR="0010291D" w:rsidRPr="00F50129" w:rsidRDefault="00C154E9" w:rsidP="00DD19D4">
      <w:pPr>
        <w:pStyle w:val="NormalWeb"/>
        <w:spacing w:before="86"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Tujuan</w:t>
      </w:r>
      <w:proofErr w:type="spellEnd"/>
      <w:r w:rsidRPr="00F50129">
        <w:rPr>
          <w:rFonts w:eastAsia="MS Mincho"/>
          <w:b/>
          <w:bCs/>
          <w:kern w:val="24"/>
          <w:sz w:val="20"/>
          <w:szCs w:val="20"/>
        </w:rPr>
        <w:t>:</w:t>
      </w:r>
      <w:r w:rsidRPr="00F50129">
        <w:rPr>
          <w:rFonts w:eastAsia="MS Mincho"/>
          <w:bCs/>
          <w:kern w:val="24"/>
          <w:sz w:val="20"/>
          <w:szCs w:val="20"/>
        </w:rPr>
        <w:t xml:space="preserve"> </w:t>
      </w:r>
      <w:proofErr w:type="spellStart"/>
      <w:r w:rsidR="00465D51">
        <w:rPr>
          <w:rFonts w:eastAsia="MS Mincho"/>
          <w:bCs/>
          <w:kern w:val="24"/>
          <w:sz w:val="20"/>
          <w:szCs w:val="20"/>
        </w:rPr>
        <w:t>Tujuan</w:t>
      </w:r>
      <w:proofErr w:type="spellEnd"/>
      <w:r w:rsidR="00465D51">
        <w:rPr>
          <w:rFonts w:eastAsia="MS Mincho"/>
          <w:bCs/>
          <w:kern w:val="24"/>
          <w:sz w:val="20"/>
          <w:szCs w:val="20"/>
        </w:rPr>
        <w:t xml:space="preserve"> </w:t>
      </w:r>
      <w:proofErr w:type="spellStart"/>
      <w:r w:rsidR="00465D51">
        <w:rPr>
          <w:rFonts w:eastAsia="MS Mincho"/>
          <w:bCs/>
          <w:kern w:val="24"/>
          <w:sz w:val="20"/>
          <w:szCs w:val="20"/>
        </w:rPr>
        <w:t>dari</w:t>
      </w:r>
      <w:proofErr w:type="spellEnd"/>
      <w:r w:rsidR="00465D51">
        <w:rPr>
          <w:rFonts w:eastAsia="MS Mincho"/>
          <w:bCs/>
          <w:kern w:val="24"/>
          <w:sz w:val="20"/>
          <w:szCs w:val="20"/>
        </w:rPr>
        <w:t xml:space="preserve"> </w:t>
      </w:r>
      <w:proofErr w:type="spellStart"/>
      <w:r w:rsidR="00465D51">
        <w:rPr>
          <w:rFonts w:eastAsia="MS Mincho"/>
          <w:bCs/>
          <w:kern w:val="24"/>
          <w:sz w:val="20"/>
          <w:szCs w:val="20"/>
        </w:rPr>
        <w:t>penelitan</w:t>
      </w:r>
      <w:proofErr w:type="spellEnd"/>
      <w:r w:rsidR="00465D51">
        <w:rPr>
          <w:rFonts w:eastAsia="MS Mincho"/>
          <w:bCs/>
          <w:kern w:val="24"/>
          <w:sz w:val="20"/>
          <w:szCs w:val="20"/>
        </w:rPr>
        <w:t xml:space="preserve"> </w:t>
      </w:r>
      <w:proofErr w:type="spellStart"/>
      <w:r w:rsidR="00465D51">
        <w:rPr>
          <w:rFonts w:eastAsia="MS Mincho"/>
          <w:bCs/>
          <w:kern w:val="24"/>
          <w:sz w:val="20"/>
          <w:szCs w:val="20"/>
        </w:rPr>
        <w:t>ini</w:t>
      </w:r>
      <w:proofErr w:type="spellEnd"/>
      <w:r w:rsidR="00465D51">
        <w:rPr>
          <w:rFonts w:eastAsia="MS Mincho"/>
          <w:bCs/>
          <w:kern w:val="24"/>
          <w:sz w:val="20"/>
          <w:szCs w:val="20"/>
        </w:rPr>
        <w:t xml:space="preserve"> </w:t>
      </w:r>
      <w:proofErr w:type="spellStart"/>
      <w:r w:rsidR="00465D51">
        <w:rPr>
          <w:rFonts w:eastAsia="MS Mincho"/>
          <w:bCs/>
          <w:kern w:val="24"/>
          <w:sz w:val="20"/>
          <w:szCs w:val="20"/>
        </w:rPr>
        <w:t>adalah</w:t>
      </w:r>
      <w:proofErr w:type="spellEnd"/>
      <w:r w:rsidR="00465D51">
        <w:rPr>
          <w:rFonts w:eastAsia="MS Mincho"/>
          <w:bCs/>
          <w:kern w:val="24"/>
          <w:sz w:val="20"/>
          <w:szCs w:val="20"/>
        </w:rPr>
        <w:t xml:space="preserve"> </w:t>
      </w:r>
      <w:proofErr w:type="spellStart"/>
      <w:r w:rsidR="00465D51">
        <w:rPr>
          <w:rFonts w:eastAsia="MS Mincho"/>
          <w:bCs/>
          <w:kern w:val="24"/>
          <w:sz w:val="20"/>
          <w:szCs w:val="20"/>
        </w:rPr>
        <w:t>untuk</w:t>
      </w:r>
      <w:proofErr w:type="spellEnd"/>
      <w:r w:rsidR="00465D51">
        <w:rPr>
          <w:rFonts w:eastAsia="MS Mincho"/>
          <w:bCs/>
          <w:kern w:val="24"/>
          <w:sz w:val="20"/>
          <w:szCs w:val="20"/>
        </w:rPr>
        <w:t xml:space="preserve"> </w:t>
      </w:r>
      <w:proofErr w:type="spellStart"/>
      <w:r w:rsidR="00465D51">
        <w:rPr>
          <w:rFonts w:eastAsia="MS Mincho"/>
          <w:bCs/>
          <w:kern w:val="24"/>
          <w:sz w:val="20"/>
          <w:szCs w:val="20"/>
        </w:rPr>
        <w:t>mengetahui</w:t>
      </w:r>
      <w:proofErr w:type="spellEnd"/>
      <w:r w:rsidR="00465D51">
        <w:rPr>
          <w:rFonts w:eastAsia="MS Mincho"/>
          <w:bCs/>
          <w:kern w:val="24"/>
          <w:sz w:val="20"/>
          <w:szCs w:val="20"/>
        </w:rPr>
        <w:t xml:space="preserve"> </w:t>
      </w:r>
      <w:proofErr w:type="spellStart"/>
      <w:r w:rsidR="00465D51">
        <w:rPr>
          <w:rFonts w:eastAsia="MS Mincho"/>
          <w:bCs/>
          <w:kern w:val="24"/>
          <w:sz w:val="20"/>
          <w:szCs w:val="20"/>
        </w:rPr>
        <w:t>hubungan</w:t>
      </w:r>
      <w:proofErr w:type="spellEnd"/>
      <w:r w:rsidR="00465D51">
        <w:rPr>
          <w:rFonts w:eastAsia="MS Mincho"/>
          <w:bCs/>
          <w:kern w:val="24"/>
          <w:sz w:val="20"/>
          <w:szCs w:val="20"/>
        </w:rPr>
        <w:t xml:space="preserve"> </w:t>
      </w:r>
      <w:proofErr w:type="spellStart"/>
      <w:r w:rsidR="00465D51">
        <w:rPr>
          <w:rFonts w:eastAsia="MS Mincho"/>
          <w:bCs/>
          <w:kern w:val="24"/>
          <w:sz w:val="20"/>
          <w:szCs w:val="20"/>
        </w:rPr>
        <w:t>dari</w:t>
      </w:r>
      <w:proofErr w:type="spellEnd"/>
      <w:r w:rsidR="00465D51">
        <w:rPr>
          <w:rFonts w:eastAsia="MS Mincho"/>
          <w:bCs/>
          <w:kern w:val="24"/>
          <w:sz w:val="20"/>
          <w:szCs w:val="20"/>
        </w:rPr>
        <w:t xml:space="preserve"> </w:t>
      </w:r>
      <w:proofErr w:type="spellStart"/>
      <w:r w:rsidR="00465D51">
        <w:rPr>
          <w:rFonts w:eastAsia="MS Mincho"/>
          <w:bCs/>
          <w:kern w:val="24"/>
          <w:sz w:val="20"/>
          <w:szCs w:val="20"/>
        </w:rPr>
        <w:t>dukungan</w:t>
      </w:r>
      <w:proofErr w:type="spellEnd"/>
      <w:r w:rsidR="00465D51">
        <w:rPr>
          <w:rFonts w:eastAsia="MS Mincho"/>
          <w:bCs/>
          <w:kern w:val="24"/>
          <w:sz w:val="20"/>
          <w:szCs w:val="20"/>
        </w:rPr>
        <w:t xml:space="preserve"> </w:t>
      </w:r>
      <w:proofErr w:type="spellStart"/>
      <w:r w:rsidR="00465D51">
        <w:rPr>
          <w:rFonts w:eastAsia="MS Mincho"/>
          <w:bCs/>
          <w:kern w:val="24"/>
          <w:sz w:val="20"/>
          <w:szCs w:val="20"/>
        </w:rPr>
        <w:t>sosial</w:t>
      </w:r>
      <w:proofErr w:type="spellEnd"/>
      <w:r w:rsidR="00465D51">
        <w:rPr>
          <w:rFonts w:eastAsia="MS Mincho"/>
          <w:bCs/>
          <w:kern w:val="24"/>
          <w:sz w:val="20"/>
          <w:szCs w:val="20"/>
        </w:rPr>
        <w:t xml:space="preserve"> </w:t>
      </w:r>
      <w:proofErr w:type="spellStart"/>
      <w:r w:rsidR="00465D51">
        <w:rPr>
          <w:rFonts w:eastAsia="MS Mincho"/>
          <w:bCs/>
          <w:kern w:val="24"/>
          <w:sz w:val="20"/>
          <w:szCs w:val="20"/>
        </w:rPr>
        <w:t>terhadap</w:t>
      </w:r>
      <w:proofErr w:type="spellEnd"/>
      <w:r w:rsidR="00465D51">
        <w:rPr>
          <w:rFonts w:eastAsia="MS Mincho"/>
          <w:bCs/>
          <w:kern w:val="24"/>
          <w:sz w:val="20"/>
          <w:szCs w:val="20"/>
        </w:rPr>
        <w:t xml:space="preserve"> </w:t>
      </w:r>
      <w:proofErr w:type="spellStart"/>
      <w:r w:rsidR="00465D51">
        <w:rPr>
          <w:rFonts w:eastAsia="MS Mincho"/>
          <w:bCs/>
          <w:kern w:val="24"/>
          <w:sz w:val="20"/>
          <w:szCs w:val="20"/>
        </w:rPr>
        <w:t>perilaku</w:t>
      </w:r>
      <w:proofErr w:type="spellEnd"/>
      <w:r w:rsidR="00465D51">
        <w:rPr>
          <w:rFonts w:eastAsia="MS Mincho"/>
          <w:bCs/>
          <w:kern w:val="24"/>
          <w:sz w:val="20"/>
          <w:szCs w:val="20"/>
        </w:rPr>
        <w:t xml:space="preserve"> </w:t>
      </w:r>
      <w:proofErr w:type="spellStart"/>
      <w:r w:rsidR="00465D51">
        <w:rPr>
          <w:rFonts w:eastAsia="MS Mincho"/>
          <w:bCs/>
          <w:kern w:val="24"/>
          <w:sz w:val="20"/>
          <w:szCs w:val="20"/>
        </w:rPr>
        <w:t>merokok</w:t>
      </w:r>
      <w:proofErr w:type="spellEnd"/>
      <w:r w:rsidR="00673459">
        <w:rPr>
          <w:rFonts w:eastAsia="MS Mincho"/>
          <w:bCs/>
          <w:kern w:val="24"/>
          <w:sz w:val="20"/>
          <w:szCs w:val="20"/>
        </w:rPr>
        <w:t xml:space="preserve"> </w:t>
      </w:r>
      <w:r w:rsidR="00B042E3">
        <w:rPr>
          <w:rFonts w:eastAsia="MS Mincho"/>
          <w:bCs/>
          <w:kern w:val="24"/>
          <w:sz w:val="20"/>
          <w:szCs w:val="20"/>
        </w:rPr>
        <w:t>/</w:t>
      </w:r>
      <w:r w:rsidR="00673459">
        <w:rPr>
          <w:rFonts w:eastAsia="MS Mincho"/>
          <w:bCs/>
          <w:kern w:val="24"/>
          <w:sz w:val="20"/>
          <w:szCs w:val="20"/>
        </w:rPr>
        <w:t xml:space="preserve"> </w:t>
      </w:r>
      <w:proofErr w:type="spellStart"/>
      <w:r w:rsidR="00465D51" w:rsidRPr="00465D51">
        <w:rPr>
          <w:rFonts w:eastAsia="MS Mincho"/>
          <w:bCs/>
          <w:i/>
          <w:iCs/>
          <w:kern w:val="24"/>
          <w:sz w:val="20"/>
          <w:szCs w:val="20"/>
        </w:rPr>
        <w:t>vaping</w:t>
      </w:r>
      <w:proofErr w:type="spellEnd"/>
      <w:r w:rsidR="00465D51">
        <w:rPr>
          <w:rFonts w:eastAsia="MS Mincho"/>
          <w:bCs/>
          <w:i/>
          <w:iCs/>
          <w:kern w:val="24"/>
          <w:sz w:val="20"/>
          <w:szCs w:val="20"/>
        </w:rPr>
        <w:t xml:space="preserve"> </w:t>
      </w:r>
      <w:proofErr w:type="spellStart"/>
      <w:r w:rsidR="00465D51">
        <w:rPr>
          <w:rFonts w:eastAsia="MS Mincho"/>
          <w:bCs/>
          <w:kern w:val="24"/>
          <w:sz w:val="20"/>
          <w:szCs w:val="20"/>
        </w:rPr>
        <w:t>pada</w:t>
      </w:r>
      <w:proofErr w:type="spellEnd"/>
      <w:r w:rsidR="00465D51">
        <w:rPr>
          <w:rFonts w:eastAsia="MS Mincho"/>
          <w:bCs/>
          <w:kern w:val="24"/>
          <w:sz w:val="20"/>
          <w:szCs w:val="20"/>
        </w:rPr>
        <w:t xml:space="preserve"> </w:t>
      </w:r>
      <w:proofErr w:type="spellStart"/>
      <w:r w:rsidR="00465D51">
        <w:rPr>
          <w:rFonts w:eastAsia="MS Mincho"/>
          <w:bCs/>
          <w:kern w:val="24"/>
          <w:sz w:val="20"/>
          <w:szCs w:val="20"/>
        </w:rPr>
        <w:t>remaja</w:t>
      </w:r>
      <w:proofErr w:type="spellEnd"/>
      <w:r w:rsidR="00465D51">
        <w:rPr>
          <w:rFonts w:eastAsia="MS Mincho"/>
          <w:bCs/>
          <w:kern w:val="24"/>
          <w:sz w:val="20"/>
          <w:szCs w:val="20"/>
        </w:rPr>
        <w:t xml:space="preserve"> </w:t>
      </w:r>
      <w:proofErr w:type="spellStart"/>
      <w:r w:rsidR="00465D51">
        <w:rPr>
          <w:rFonts w:eastAsia="MS Mincho"/>
          <w:bCs/>
          <w:kern w:val="24"/>
          <w:sz w:val="20"/>
          <w:szCs w:val="20"/>
        </w:rPr>
        <w:t>usia</w:t>
      </w:r>
      <w:proofErr w:type="spellEnd"/>
      <w:r w:rsidR="00465D51">
        <w:rPr>
          <w:rFonts w:eastAsia="MS Mincho"/>
          <w:bCs/>
          <w:kern w:val="24"/>
          <w:sz w:val="20"/>
          <w:szCs w:val="20"/>
        </w:rPr>
        <w:t xml:space="preserve"> SMA di Surabaya</w:t>
      </w:r>
      <w:r w:rsidRPr="00F50129">
        <w:rPr>
          <w:rFonts w:eastAsia="MS Mincho"/>
          <w:bCs/>
          <w:kern w:val="24"/>
          <w:sz w:val="20"/>
          <w:szCs w:val="20"/>
        </w:rPr>
        <w:t xml:space="preserve">. </w:t>
      </w:r>
    </w:p>
    <w:p w14:paraId="479434C9" w14:textId="3CC2D904" w:rsidR="0010291D" w:rsidRPr="00F50129" w:rsidRDefault="00C154E9" w:rsidP="00DD19D4">
      <w:pPr>
        <w:pStyle w:val="NormalWeb"/>
        <w:spacing w:before="86" w:beforeAutospacing="0" w:after="0" w:afterAutospacing="0"/>
        <w:jc w:val="both"/>
        <w:textAlignment w:val="baseline"/>
        <w:rPr>
          <w:rFonts w:eastAsia="MS Mincho"/>
          <w:bCs/>
          <w:kern w:val="24"/>
          <w:sz w:val="20"/>
          <w:szCs w:val="20"/>
        </w:rPr>
      </w:pPr>
      <w:proofErr w:type="spellStart"/>
      <w:r w:rsidRPr="00F50129">
        <w:rPr>
          <w:rFonts w:eastAsia="MS Mincho"/>
          <w:b/>
          <w:bCs/>
          <w:kern w:val="24"/>
          <w:sz w:val="20"/>
          <w:szCs w:val="20"/>
        </w:rPr>
        <w:t>Metode</w:t>
      </w:r>
      <w:proofErr w:type="spellEnd"/>
      <w:r w:rsidR="00DD328C" w:rsidRPr="00F50129">
        <w:rPr>
          <w:rFonts w:eastAsia="MS Mincho"/>
          <w:b/>
          <w:bCs/>
          <w:kern w:val="24"/>
          <w:sz w:val="20"/>
          <w:szCs w:val="20"/>
        </w:rPr>
        <w:t>:</w:t>
      </w:r>
      <w:r w:rsidR="00465D51">
        <w:rPr>
          <w:rFonts w:eastAsia="MS Mincho"/>
          <w:b/>
          <w:bCs/>
          <w:kern w:val="24"/>
          <w:sz w:val="20"/>
          <w:szCs w:val="20"/>
        </w:rPr>
        <w:t xml:space="preserve"> </w:t>
      </w:r>
      <w:proofErr w:type="spellStart"/>
      <w:r w:rsidR="00465D51" w:rsidRPr="00465D51">
        <w:rPr>
          <w:rFonts w:eastAsia="MS Mincho"/>
          <w:kern w:val="24"/>
          <w:sz w:val="20"/>
          <w:szCs w:val="20"/>
        </w:rPr>
        <w:t>Penelitian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ini</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merupakan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penelitian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kuantitatif</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dengan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jenis</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analitik</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observasional</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desain</w:t>
      </w:r>
      <w:proofErr w:type="spellEnd"/>
      <w:r w:rsidR="00465D51" w:rsidRPr="00465D51">
        <w:rPr>
          <w:rFonts w:eastAsia="MS Mincho"/>
          <w:kern w:val="24"/>
          <w:sz w:val="20"/>
          <w:szCs w:val="20"/>
        </w:rPr>
        <w:t xml:space="preserve"> </w:t>
      </w:r>
      <w:r w:rsidR="00465D51" w:rsidRPr="00673459">
        <w:rPr>
          <w:rFonts w:eastAsia="MS Mincho"/>
          <w:i/>
          <w:iCs/>
          <w:kern w:val="24"/>
          <w:sz w:val="20"/>
          <w:szCs w:val="20"/>
        </w:rPr>
        <w:t>cross sectional</w:t>
      </w:r>
      <w:r w:rsidR="00465D51" w:rsidRPr="00465D51">
        <w:rPr>
          <w:rFonts w:eastAsia="MS Mincho"/>
          <w:kern w:val="24"/>
          <w:sz w:val="20"/>
          <w:szCs w:val="20"/>
        </w:rPr>
        <w:t xml:space="preserve">. </w:t>
      </w:r>
      <w:proofErr w:type="spellStart"/>
      <w:r w:rsidR="00465D51" w:rsidRPr="00465D51">
        <w:rPr>
          <w:rFonts w:eastAsia="MS Mincho"/>
          <w:kern w:val="24"/>
          <w:sz w:val="20"/>
          <w:szCs w:val="20"/>
        </w:rPr>
        <w:t>Jumlah</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responden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dalam</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penelitian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ini</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sebanyak</w:t>
      </w:r>
      <w:proofErr w:type="spellEnd"/>
      <w:r w:rsidR="00465D51" w:rsidRPr="00465D51">
        <w:rPr>
          <w:rFonts w:eastAsia="MS Mincho"/>
          <w:kern w:val="24"/>
          <w:sz w:val="20"/>
          <w:szCs w:val="20"/>
        </w:rPr>
        <w:t xml:space="preserve"> 145 </w:t>
      </w:r>
      <w:proofErr w:type="spellStart"/>
      <w:r w:rsidR="00465D51" w:rsidRPr="00465D51">
        <w:rPr>
          <w:rFonts w:eastAsia="MS Mincho"/>
          <w:kern w:val="24"/>
          <w:sz w:val="20"/>
          <w:szCs w:val="20"/>
        </w:rPr>
        <w:t>responden</w:t>
      </w:r>
      <w:proofErr w:type="spellEnd"/>
      <w:r w:rsidR="00465D51" w:rsidRPr="00465D51">
        <w:rPr>
          <w:rFonts w:eastAsia="MS Mincho"/>
          <w:kern w:val="24"/>
          <w:sz w:val="20"/>
          <w:szCs w:val="20"/>
        </w:rPr>
        <w:t xml:space="preserve"> yang </w:t>
      </w:r>
      <w:proofErr w:type="spellStart"/>
      <w:r w:rsidR="00465D51" w:rsidRPr="00465D51">
        <w:rPr>
          <w:rFonts w:eastAsia="MS Mincho"/>
          <w:kern w:val="24"/>
          <w:sz w:val="20"/>
          <w:szCs w:val="20"/>
        </w:rPr>
        <w:t>diperoleh</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dari</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teknik</w:t>
      </w:r>
      <w:proofErr w:type="spellEnd"/>
      <w:r w:rsidR="00465D51" w:rsidRPr="00465D51">
        <w:rPr>
          <w:rFonts w:eastAsia="MS Mincho"/>
          <w:kern w:val="24"/>
          <w:sz w:val="20"/>
          <w:szCs w:val="20"/>
        </w:rPr>
        <w:t xml:space="preserve"> </w:t>
      </w:r>
      <w:r w:rsidR="00465D51" w:rsidRPr="00465D51">
        <w:rPr>
          <w:rFonts w:eastAsia="MS Mincho"/>
          <w:i/>
          <w:iCs/>
          <w:kern w:val="24"/>
          <w:sz w:val="20"/>
          <w:szCs w:val="20"/>
        </w:rPr>
        <w:t>snowball sampling</w:t>
      </w:r>
      <w:r w:rsidR="00465D51" w:rsidRPr="00465D51">
        <w:rPr>
          <w:rFonts w:eastAsia="MS Mincho"/>
          <w:kern w:val="24"/>
          <w:sz w:val="20"/>
          <w:szCs w:val="20"/>
        </w:rPr>
        <w:t xml:space="preserve">. </w:t>
      </w:r>
      <w:proofErr w:type="spellStart"/>
      <w:r w:rsidR="00465D51" w:rsidRPr="00465D51">
        <w:rPr>
          <w:rFonts w:eastAsia="MS Mincho"/>
          <w:kern w:val="24"/>
          <w:sz w:val="20"/>
          <w:szCs w:val="20"/>
        </w:rPr>
        <w:t>Variabel</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bebas</w:t>
      </w:r>
      <w:proofErr w:type="spellEnd"/>
      <w:r w:rsidR="00465D51">
        <w:rPr>
          <w:rFonts w:eastAsia="MS Mincho"/>
          <w:kern w:val="24"/>
          <w:sz w:val="20"/>
          <w:szCs w:val="20"/>
        </w:rPr>
        <w:t xml:space="preserve"> </w:t>
      </w:r>
      <w:proofErr w:type="spellStart"/>
      <w:r w:rsidR="00465D51">
        <w:rPr>
          <w:rFonts w:eastAsia="MS Mincho"/>
          <w:kern w:val="24"/>
          <w:sz w:val="20"/>
          <w:szCs w:val="20"/>
        </w:rPr>
        <w:t>adalah</w:t>
      </w:r>
      <w:proofErr w:type="spellEnd"/>
      <w:r w:rsidR="00465D51">
        <w:rPr>
          <w:rFonts w:eastAsia="MS Mincho"/>
          <w:kern w:val="24"/>
          <w:sz w:val="20"/>
          <w:szCs w:val="20"/>
        </w:rPr>
        <w:t xml:space="preserve"> </w:t>
      </w:r>
      <w:proofErr w:type="spellStart"/>
      <w:r w:rsidR="00465D51">
        <w:rPr>
          <w:rFonts w:eastAsia="MS Mincho"/>
          <w:kern w:val="24"/>
          <w:sz w:val="20"/>
          <w:szCs w:val="20"/>
        </w:rPr>
        <w:t>dukungan</w:t>
      </w:r>
      <w:proofErr w:type="spellEnd"/>
      <w:r w:rsidR="00465D51">
        <w:rPr>
          <w:rFonts w:eastAsia="MS Mincho"/>
          <w:kern w:val="24"/>
          <w:sz w:val="20"/>
          <w:szCs w:val="20"/>
        </w:rPr>
        <w:t xml:space="preserve"> </w:t>
      </w:r>
      <w:proofErr w:type="spellStart"/>
      <w:r w:rsidR="00465D51">
        <w:rPr>
          <w:rFonts w:eastAsia="MS Mincho"/>
          <w:kern w:val="24"/>
          <w:sz w:val="20"/>
          <w:szCs w:val="20"/>
        </w:rPr>
        <w:t>sosial</w:t>
      </w:r>
      <w:proofErr w:type="spellEnd"/>
      <w:r w:rsidR="00465D51">
        <w:rPr>
          <w:rFonts w:eastAsia="MS Mincho"/>
          <w:kern w:val="24"/>
          <w:sz w:val="20"/>
          <w:szCs w:val="20"/>
        </w:rPr>
        <w:t xml:space="preserve"> yang</w:t>
      </w:r>
      <w:r w:rsidR="00465D51" w:rsidRPr="00465D51">
        <w:rPr>
          <w:rFonts w:eastAsia="MS Mincho"/>
          <w:kern w:val="24"/>
          <w:sz w:val="20"/>
          <w:szCs w:val="20"/>
        </w:rPr>
        <w:t xml:space="preserve"> </w:t>
      </w:r>
      <w:proofErr w:type="spellStart"/>
      <w:r w:rsidR="00465D51" w:rsidRPr="00465D51">
        <w:rPr>
          <w:rFonts w:eastAsia="MS Mincho"/>
          <w:kern w:val="24"/>
          <w:sz w:val="20"/>
          <w:szCs w:val="20"/>
        </w:rPr>
        <w:t>terdiri</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dari</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dukungan</w:t>
      </w:r>
      <w:proofErr w:type="spellEnd"/>
      <w:r w:rsidR="00465D51" w:rsidRPr="00465D51">
        <w:rPr>
          <w:rFonts w:eastAsia="MS Mincho"/>
          <w:kern w:val="24"/>
          <w:sz w:val="20"/>
          <w:szCs w:val="20"/>
        </w:rPr>
        <w:t xml:space="preserve"> instrumental, </w:t>
      </w:r>
      <w:proofErr w:type="spellStart"/>
      <w:r w:rsidR="00465D51" w:rsidRPr="00465D51">
        <w:rPr>
          <w:rFonts w:eastAsia="MS Mincho"/>
          <w:kern w:val="24"/>
          <w:sz w:val="20"/>
          <w:szCs w:val="20"/>
        </w:rPr>
        <w:t>dukungan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informasi</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dukungan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emosional</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dukungan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penghargaan</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Variabel</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terikatnya</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adalah</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perilaku</w:t>
      </w:r>
      <w:proofErr w:type="spellEnd"/>
      <w:r w:rsidR="00465D51" w:rsidRPr="00465D51">
        <w:rPr>
          <w:rFonts w:eastAsia="MS Mincho"/>
          <w:kern w:val="24"/>
          <w:sz w:val="20"/>
          <w:szCs w:val="20"/>
        </w:rPr>
        <w:t xml:space="preserve"> </w:t>
      </w:r>
      <w:proofErr w:type="spellStart"/>
      <w:r w:rsidR="00465D51" w:rsidRPr="00465D51">
        <w:rPr>
          <w:rFonts w:eastAsia="MS Mincho"/>
          <w:kern w:val="24"/>
          <w:sz w:val="20"/>
          <w:szCs w:val="20"/>
        </w:rPr>
        <w:t>merokok</w:t>
      </w:r>
      <w:proofErr w:type="spellEnd"/>
      <w:r w:rsidR="00B042E3">
        <w:rPr>
          <w:rFonts w:eastAsia="MS Mincho"/>
          <w:kern w:val="24"/>
          <w:sz w:val="20"/>
          <w:szCs w:val="20"/>
        </w:rPr>
        <w:t>/</w:t>
      </w:r>
      <w:proofErr w:type="spellStart"/>
      <w:r w:rsidR="00465D51" w:rsidRPr="00465D51">
        <w:rPr>
          <w:rFonts w:eastAsia="MS Mincho"/>
          <w:kern w:val="24"/>
          <w:sz w:val="20"/>
          <w:szCs w:val="20"/>
        </w:rPr>
        <w:t>vaping</w:t>
      </w:r>
      <w:proofErr w:type="spellEnd"/>
      <w:r w:rsidR="00465D51" w:rsidRPr="00465D51">
        <w:rPr>
          <w:rFonts w:eastAsia="MS Mincho"/>
          <w:kern w:val="24"/>
          <w:sz w:val="20"/>
          <w:szCs w:val="20"/>
        </w:rPr>
        <w:t>.</w:t>
      </w:r>
      <w:r w:rsidR="00465D51">
        <w:rPr>
          <w:rFonts w:eastAsia="MS Mincho"/>
          <w:kern w:val="24"/>
          <w:sz w:val="20"/>
          <w:szCs w:val="20"/>
        </w:rPr>
        <w:t xml:space="preserve"> </w:t>
      </w:r>
      <w:r w:rsidR="00DD328C" w:rsidRPr="00F50129">
        <w:rPr>
          <w:rFonts w:eastAsia="MS Mincho"/>
          <w:bCs/>
          <w:kern w:val="24"/>
          <w:sz w:val="20"/>
          <w:szCs w:val="20"/>
        </w:rPr>
        <w:t xml:space="preserve">  </w:t>
      </w:r>
    </w:p>
    <w:p w14:paraId="1BB9E614" w14:textId="0503D9DF" w:rsidR="00DD19D4" w:rsidRPr="00F50129" w:rsidRDefault="006840C2" w:rsidP="00DD19D4">
      <w:pPr>
        <w:pStyle w:val="NormalWeb"/>
        <w:spacing w:before="86" w:beforeAutospacing="0" w:after="0" w:afterAutospacing="0"/>
        <w:jc w:val="both"/>
        <w:textAlignment w:val="baseline"/>
        <w:rPr>
          <w:sz w:val="20"/>
          <w:szCs w:val="20"/>
          <w:shd w:val="clear" w:color="auto" w:fill="FFFFFF"/>
        </w:rPr>
      </w:pPr>
      <w:proofErr w:type="spellStart"/>
      <w:r w:rsidRPr="00F50129">
        <w:rPr>
          <w:rStyle w:val="highlight"/>
          <w:b/>
          <w:sz w:val="20"/>
          <w:szCs w:val="20"/>
          <w:shd w:val="clear" w:color="auto" w:fill="FFFFFF"/>
        </w:rPr>
        <w:t>Hasil</w:t>
      </w:r>
      <w:proofErr w:type="spellEnd"/>
      <w:r w:rsidR="00DD328C" w:rsidRPr="00F50129">
        <w:rPr>
          <w:rStyle w:val="highlight"/>
          <w:b/>
          <w:sz w:val="20"/>
          <w:szCs w:val="20"/>
          <w:shd w:val="clear" w:color="auto" w:fill="FFFFFF"/>
        </w:rPr>
        <w:t>:</w:t>
      </w:r>
      <w:r w:rsidR="00DD328C" w:rsidRPr="00F50129">
        <w:rPr>
          <w:rStyle w:val="highlight"/>
          <w:sz w:val="20"/>
          <w:szCs w:val="20"/>
          <w:shd w:val="clear" w:color="auto" w:fill="FFFFFF"/>
        </w:rPr>
        <w:t xml:space="preserve"> </w:t>
      </w:r>
      <w:proofErr w:type="spellStart"/>
      <w:r w:rsidR="00673459" w:rsidRPr="00673459">
        <w:rPr>
          <w:rFonts w:eastAsia="MS Mincho"/>
          <w:bCs/>
          <w:kern w:val="24"/>
          <w:sz w:val="20"/>
          <w:szCs w:val="20"/>
        </w:rPr>
        <w:t>Hubungan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antar</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variabel</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diukur</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menggunakan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uji</w:t>
      </w:r>
      <w:proofErr w:type="spellEnd"/>
      <w:r w:rsidR="00673459" w:rsidRPr="00673459">
        <w:rPr>
          <w:rFonts w:eastAsia="MS Mincho"/>
          <w:bCs/>
          <w:kern w:val="24"/>
          <w:sz w:val="20"/>
          <w:szCs w:val="20"/>
        </w:rPr>
        <w:t xml:space="preserve"> </w:t>
      </w:r>
      <w:r w:rsidR="00673459" w:rsidRPr="00DE5971">
        <w:rPr>
          <w:rFonts w:eastAsia="MS Mincho"/>
          <w:bCs/>
          <w:i/>
          <w:iCs/>
          <w:kern w:val="24"/>
          <w:sz w:val="20"/>
          <w:szCs w:val="20"/>
        </w:rPr>
        <w:t>Pearson Chi-Square</w:t>
      </w:r>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Hasil</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analisis</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menunjukkan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terdapat</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hubungan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antara</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dukungan</w:t>
      </w:r>
      <w:proofErr w:type="spellEnd"/>
      <w:r w:rsidR="00673459" w:rsidRPr="00673459">
        <w:rPr>
          <w:rFonts w:eastAsia="MS Mincho"/>
          <w:bCs/>
          <w:kern w:val="24"/>
          <w:sz w:val="20"/>
          <w:szCs w:val="20"/>
        </w:rPr>
        <w:t xml:space="preserve"> instrumental (p=0,000), </w:t>
      </w:r>
      <w:proofErr w:type="spellStart"/>
      <w:r w:rsidR="00673459" w:rsidRPr="00673459">
        <w:rPr>
          <w:rFonts w:eastAsia="MS Mincho"/>
          <w:bCs/>
          <w:kern w:val="24"/>
          <w:sz w:val="20"/>
          <w:szCs w:val="20"/>
        </w:rPr>
        <w:t>dukungan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informasi</w:t>
      </w:r>
      <w:proofErr w:type="spellEnd"/>
      <w:r w:rsidR="00673459" w:rsidRPr="00673459">
        <w:rPr>
          <w:rFonts w:eastAsia="MS Mincho"/>
          <w:bCs/>
          <w:kern w:val="24"/>
          <w:sz w:val="20"/>
          <w:szCs w:val="20"/>
        </w:rPr>
        <w:t xml:space="preserve"> (p=0,019), </w:t>
      </w:r>
      <w:proofErr w:type="spellStart"/>
      <w:r w:rsidR="00673459" w:rsidRPr="00673459">
        <w:rPr>
          <w:rFonts w:eastAsia="MS Mincho"/>
          <w:bCs/>
          <w:kern w:val="24"/>
          <w:sz w:val="20"/>
          <w:szCs w:val="20"/>
        </w:rPr>
        <w:t>dukungan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emosional</w:t>
      </w:r>
      <w:proofErr w:type="spellEnd"/>
      <w:r w:rsidR="00673459" w:rsidRPr="00673459">
        <w:rPr>
          <w:rFonts w:eastAsia="MS Mincho"/>
          <w:bCs/>
          <w:kern w:val="24"/>
          <w:sz w:val="20"/>
          <w:szCs w:val="20"/>
        </w:rPr>
        <w:t xml:space="preserve"> (p=0,000), </w:t>
      </w:r>
      <w:proofErr w:type="spellStart"/>
      <w:r w:rsidR="00673459" w:rsidRPr="00673459">
        <w:rPr>
          <w:rFonts w:eastAsia="MS Mincho"/>
          <w:bCs/>
          <w:kern w:val="24"/>
          <w:sz w:val="20"/>
          <w:szCs w:val="20"/>
        </w:rPr>
        <w:t>dan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dukungan</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penghargaan</w:t>
      </w:r>
      <w:proofErr w:type="spellEnd"/>
      <w:r w:rsidR="00673459" w:rsidRPr="00673459">
        <w:rPr>
          <w:rFonts w:eastAsia="MS Mincho"/>
          <w:bCs/>
          <w:kern w:val="24"/>
          <w:sz w:val="20"/>
          <w:szCs w:val="20"/>
        </w:rPr>
        <w:t xml:space="preserve"> (p=0,000) </w:t>
      </w:r>
      <w:proofErr w:type="spellStart"/>
      <w:r w:rsidR="00673459" w:rsidRPr="00673459">
        <w:rPr>
          <w:rFonts w:eastAsia="MS Mincho"/>
          <w:bCs/>
          <w:kern w:val="24"/>
          <w:sz w:val="20"/>
          <w:szCs w:val="20"/>
        </w:rPr>
        <w:t>terhadap</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perilaku</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merokok</w:t>
      </w:r>
      <w:proofErr w:type="spellEnd"/>
      <w:r w:rsidR="00673459">
        <w:rPr>
          <w:rFonts w:eastAsia="MS Mincho"/>
          <w:bCs/>
          <w:kern w:val="24"/>
          <w:sz w:val="20"/>
          <w:szCs w:val="20"/>
        </w:rPr>
        <w:t xml:space="preserve"> </w:t>
      </w:r>
      <w:r w:rsidR="00673459" w:rsidRPr="00673459">
        <w:rPr>
          <w:rFonts w:eastAsia="MS Mincho"/>
          <w:bCs/>
          <w:kern w:val="24"/>
          <w:sz w:val="20"/>
          <w:szCs w:val="20"/>
        </w:rPr>
        <w:t>/</w:t>
      </w:r>
      <w:r w:rsidR="00673459">
        <w:rPr>
          <w:rFonts w:eastAsia="MS Mincho"/>
          <w:bCs/>
          <w:kern w:val="24"/>
          <w:sz w:val="20"/>
          <w:szCs w:val="20"/>
        </w:rPr>
        <w:t xml:space="preserve"> </w:t>
      </w:r>
      <w:proofErr w:type="spellStart"/>
      <w:r w:rsidR="00673459" w:rsidRPr="00673459">
        <w:rPr>
          <w:rFonts w:eastAsia="MS Mincho"/>
          <w:bCs/>
          <w:i/>
          <w:iCs/>
          <w:kern w:val="24"/>
          <w:sz w:val="20"/>
          <w:szCs w:val="20"/>
        </w:rPr>
        <w:t>vaping</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pada</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remaja</w:t>
      </w:r>
      <w:proofErr w:type="spellEnd"/>
      <w:r w:rsidR="00673459" w:rsidRPr="00673459">
        <w:rPr>
          <w:rFonts w:eastAsia="MS Mincho"/>
          <w:bCs/>
          <w:kern w:val="24"/>
          <w:sz w:val="20"/>
          <w:szCs w:val="20"/>
        </w:rPr>
        <w:t xml:space="preserve"> </w:t>
      </w:r>
      <w:proofErr w:type="spellStart"/>
      <w:r w:rsidR="00673459" w:rsidRPr="00673459">
        <w:rPr>
          <w:rFonts w:eastAsia="MS Mincho"/>
          <w:bCs/>
          <w:kern w:val="24"/>
          <w:sz w:val="20"/>
          <w:szCs w:val="20"/>
        </w:rPr>
        <w:t>usia</w:t>
      </w:r>
      <w:proofErr w:type="spellEnd"/>
      <w:r w:rsidR="00673459" w:rsidRPr="00673459">
        <w:rPr>
          <w:rFonts w:eastAsia="MS Mincho"/>
          <w:bCs/>
          <w:kern w:val="24"/>
          <w:sz w:val="20"/>
          <w:szCs w:val="20"/>
        </w:rPr>
        <w:t xml:space="preserve"> SMA di Surabaya</w:t>
      </w:r>
      <w:r w:rsidR="00DD19D4" w:rsidRPr="00F50129">
        <w:rPr>
          <w:rFonts w:eastAsia="MS Mincho"/>
          <w:bCs/>
          <w:kern w:val="24"/>
          <w:sz w:val="20"/>
          <w:szCs w:val="20"/>
        </w:rPr>
        <w:t>.</w:t>
      </w:r>
    </w:p>
    <w:p w14:paraId="45BC45B0" w14:textId="0425B6E3" w:rsidR="00DD328C" w:rsidRPr="00F50129" w:rsidRDefault="006840C2" w:rsidP="00DD19D4">
      <w:pPr>
        <w:pStyle w:val="NormalWeb"/>
        <w:spacing w:before="86" w:beforeAutospacing="0" w:after="0" w:afterAutospacing="0"/>
        <w:jc w:val="both"/>
        <w:textAlignment w:val="baseline"/>
        <w:rPr>
          <w:sz w:val="20"/>
          <w:szCs w:val="20"/>
        </w:rPr>
      </w:pPr>
      <w:proofErr w:type="spellStart"/>
      <w:r w:rsidRPr="00F50129">
        <w:rPr>
          <w:rFonts w:eastAsia="MS Mincho"/>
          <w:b/>
          <w:bCs/>
          <w:kern w:val="24"/>
          <w:sz w:val="20"/>
          <w:szCs w:val="20"/>
        </w:rPr>
        <w:t>Kesimpulan</w:t>
      </w:r>
      <w:proofErr w:type="spellEnd"/>
      <w:r w:rsidR="00DD328C" w:rsidRPr="00F50129">
        <w:rPr>
          <w:rFonts w:eastAsia="MS Mincho"/>
          <w:b/>
          <w:bCs/>
          <w:kern w:val="24"/>
          <w:sz w:val="20"/>
          <w:szCs w:val="20"/>
        </w:rPr>
        <w:t>:</w:t>
      </w:r>
      <w:r w:rsidR="00DD328C" w:rsidRPr="00F50129">
        <w:rPr>
          <w:sz w:val="20"/>
          <w:szCs w:val="20"/>
        </w:rPr>
        <w:t xml:space="preserve"> </w:t>
      </w:r>
      <w:proofErr w:type="spellStart"/>
      <w:r w:rsidR="00461C0B">
        <w:rPr>
          <w:sz w:val="20"/>
          <w:szCs w:val="20"/>
        </w:rPr>
        <w:t>Terdapat</w:t>
      </w:r>
      <w:proofErr w:type="spellEnd"/>
      <w:r w:rsidR="00461C0B">
        <w:rPr>
          <w:sz w:val="20"/>
          <w:szCs w:val="20"/>
        </w:rPr>
        <w:t xml:space="preserve"> </w:t>
      </w:r>
      <w:proofErr w:type="spellStart"/>
      <w:r w:rsidR="00461C0B">
        <w:rPr>
          <w:sz w:val="20"/>
          <w:szCs w:val="20"/>
        </w:rPr>
        <w:t>hubungan</w:t>
      </w:r>
      <w:proofErr w:type="spellEnd"/>
      <w:r w:rsidR="00461C0B">
        <w:rPr>
          <w:sz w:val="20"/>
          <w:szCs w:val="20"/>
        </w:rPr>
        <w:t xml:space="preserve"> </w:t>
      </w:r>
      <w:proofErr w:type="spellStart"/>
      <w:r w:rsidR="00461C0B">
        <w:rPr>
          <w:sz w:val="20"/>
          <w:szCs w:val="20"/>
        </w:rPr>
        <w:t>antara</w:t>
      </w:r>
      <w:proofErr w:type="spellEnd"/>
      <w:r w:rsidR="00461C0B">
        <w:rPr>
          <w:sz w:val="20"/>
          <w:szCs w:val="20"/>
        </w:rPr>
        <w:t xml:space="preserve"> </w:t>
      </w:r>
      <w:proofErr w:type="spellStart"/>
      <w:r w:rsidR="00461C0B">
        <w:rPr>
          <w:sz w:val="20"/>
          <w:szCs w:val="20"/>
        </w:rPr>
        <w:t>dukungan</w:t>
      </w:r>
      <w:proofErr w:type="spellEnd"/>
      <w:r w:rsidR="00461C0B">
        <w:rPr>
          <w:sz w:val="20"/>
          <w:szCs w:val="20"/>
        </w:rPr>
        <w:t xml:space="preserve"> </w:t>
      </w:r>
      <w:proofErr w:type="spellStart"/>
      <w:r w:rsidR="00461C0B">
        <w:rPr>
          <w:sz w:val="20"/>
          <w:szCs w:val="20"/>
        </w:rPr>
        <w:t>sosial</w:t>
      </w:r>
      <w:proofErr w:type="spellEnd"/>
      <w:r w:rsidR="00461C0B">
        <w:rPr>
          <w:sz w:val="20"/>
          <w:szCs w:val="20"/>
        </w:rPr>
        <w:t xml:space="preserve"> </w:t>
      </w:r>
      <w:proofErr w:type="spellStart"/>
      <w:r w:rsidR="00461C0B">
        <w:rPr>
          <w:sz w:val="20"/>
          <w:szCs w:val="20"/>
        </w:rPr>
        <w:t>dan</w:t>
      </w:r>
      <w:proofErr w:type="spellEnd"/>
      <w:r w:rsidR="00461C0B">
        <w:rPr>
          <w:sz w:val="20"/>
          <w:szCs w:val="20"/>
        </w:rPr>
        <w:t xml:space="preserve"> </w:t>
      </w:r>
      <w:proofErr w:type="spellStart"/>
      <w:r w:rsidR="00461C0B">
        <w:rPr>
          <w:sz w:val="20"/>
          <w:szCs w:val="20"/>
        </w:rPr>
        <w:t>perilaku</w:t>
      </w:r>
      <w:proofErr w:type="spellEnd"/>
      <w:r w:rsidR="00461C0B">
        <w:rPr>
          <w:sz w:val="20"/>
          <w:szCs w:val="20"/>
        </w:rPr>
        <w:t xml:space="preserve"> </w:t>
      </w:r>
      <w:proofErr w:type="spellStart"/>
      <w:r w:rsidR="00461C0B">
        <w:rPr>
          <w:sz w:val="20"/>
          <w:szCs w:val="20"/>
        </w:rPr>
        <w:t>merokok</w:t>
      </w:r>
      <w:proofErr w:type="spellEnd"/>
      <w:r w:rsidR="00461C0B">
        <w:rPr>
          <w:sz w:val="20"/>
          <w:szCs w:val="20"/>
        </w:rPr>
        <w:t>/</w:t>
      </w:r>
      <w:proofErr w:type="spellStart"/>
      <w:r w:rsidR="00461C0B">
        <w:rPr>
          <w:i/>
          <w:iCs/>
          <w:sz w:val="20"/>
          <w:szCs w:val="20"/>
        </w:rPr>
        <w:t>vaping</w:t>
      </w:r>
      <w:proofErr w:type="spellEnd"/>
      <w:r w:rsidR="00461C0B">
        <w:rPr>
          <w:i/>
          <w:iCs/>
          <w:sz w:val="20"/>
          <w:szCs w:val="20"/>
        </w:rPr>
        <w:t xml:space="preserve"> </w:t>
      </w:r>
      <w:proofErr w:type="spellStart"/>
      <w:r w:rsidR="00461C0B">
        <w:rPr>
          <w:sz w:val="20"/>
          <w:szCs w:val="20"/>
        </w:rPr>
        <w:t>pada</w:t>
      </w:r>
      <w:proofErr w:type="spellEnd"/>
      <w:r w:rsidR="00461C0B">
        <w:rPr>
          <w:sz w:val="20"/>
          <w:szCs w:val="20"/>
        </w:rPr>
        <w:t xml:space="preserve"> </w:t>
      </w:r>
      <w:proofErr w:type="spellStart"/>
      <w:r w:rsidR="00461C0B">
        <w:rPr>
          <w:sz w:val="20"/>
          <w:szCs w:val="20"/>
        </w:rPr>
        <w:t>remaja</w:t>
      </w:r>
      <w:proofErr w:type="spellEnd"/>
      <w:r w:rsidR="00461C0B">
        <w:rPr>
          <w:sz w:val="20"/>
          <w:szCs w:val="20"/>
        </w:rPr>
        <w:t xml:space="preserve"> </w:t>
      </w:r>
      <w:proofErr w:type="spellStart"/>
      <w:r w:rsidR="00461C0B">
        <w:rPr>
          <w:sz w:val="20"/>
          <w:szCs w:val="20"/>
        </w:rPr>
        <w:t>usia</w:t>
      </w:r>
      <w:proofErr w:type="spellEnd"/>
      <w:r w:rsidR="00461C0B">
        <w:rPr>
          <w:sz w:val="20"/>
          <w:szCs w:val="20"/>
        </w:rPr>
        <w:t xml:space="preserve"> SMA di Surabaya. </w:t>
      </w:r>
      <w:proofErr w:type="spellStart"/>
      <w:r w:rsidR="00461C0B">
        <w:rPr>
          <w:sz w:val="20"/>
          <w:szCs w:val="20"/>
        </w:rPr>
        <w:t>Dukungan</w:t>
      </w:r>
      <w:proofErr w:type="spellEnd"/>
      <w:r w:rsidR="00461C0B">
        <w:rPr>
          <w:sz w:val="20"/>
          <w:szCs w:val="20"/>
        </w:rPr>
        <w:t xml:space="preserve"> </w:t>
      </w:r>
      <w:proofErr w:type="spellStart"/>
      <w:r w:rsidR="00461C0B">
        <w:rPr>
          <w:sz w:val="20"/>
          <w:szCs w:val="20"/>
        </w:rPr>
        <w:t>sosial</w:t>
      </w:r>
      <w:proofErr w:type="spellEnd"/>
      <w:r w:rsidR="00461C0B">
        <w:rPr>
          <w:sz w:val="20"/>
          <w:szCs w:val="20"/>
        </w:rPr>
        <w:t xml:space="preserve"> </w:t>
      </w:r>
      <w:proofErr w:type="spellStart"/>
      <w:r w:rsidR="00461C0B">
        <w:rPr>
          <w:sz w:val="20"/>
          <w:szCs w:val="20"/>
        </w:rPr>
        <w:t>menjadi</w:t>
      </w:r>
      <w:proofErr w:type="spellEnd"/>
      <w:r w:rsidR="00461C0B">
        <w:rPr>
          <w:sz w:val="20"/>
          <w:szCs w:val="20"/>
        </w:rPr>
        <w:t xml:space="preserve"> </w:t>
      </w:r>
      <w:proofErr w:type="spellStart"/>
      <w:r w:rsidR="00461C0B">
        <w:rPr>
          <w:sz w:val="20"/>
          <w:szCs w:val="20"/>
        </w:rPr>
        <w:t>penting</w:t>
      </w:r>
      <w:proofErr w:type="spellEnd"/>
      <w:r w:rsidR="00461C0B">
        <w:rPr>
          <w:sz w:val="20"/>
          <w:szCs w:val="20"/>
        </w:rPr>
        <w:t xml:space="preserve"> </w:t>
      </w:r>
      <w:proofErr w:type="spellStart"/>
      <w:r w:rsidR="00461C0B">
        <w:rPr>
          <w:sz w:val="20"/>
          <w:szCs w:val="20"/>
        </w:rPr>
        <w:t>karena</w:t>
      </w:r>
      <w:proofErr w:type="spellEnd"/>
      <w:r w:rsidR="00461C0B">
        <w:rPr>
          <w:sz w:val="20"/>
          <w:szCs w:val="20"/>
        </w:rPr>
        <w:t xml:space="preserve"> </w:t>
      </w:r>
      <w:proofErr w:type="spellStart"/>
      <w:r w:rsidR="00461C0B">
        <w:rPr>
          <w:sz w:val="20"/>
          <w:szCs w:val="20"/>
        </w:rPr>
        <w:t>dapat</w:t>
      </w:r>
      <w:proofErr w:type="spellEnd"/>
      <w:r w:rsidR="00461C0B">
        <w:rPr>
          <w:sz w:val="20"/>
          <w:szCs w:val="20"/>
        </w:rPr>
        <w:t xml:space="preserve"> </w:t>
      </w:r>
      <w:proofErr w:type="spellStart"/>
      <w:r w:rsidR="00461C0B">
        <w:rPr>
          <w:sz w:val="20"/>
          <w:szCs w:val="20"/>
        </w:rPr>
        <w:t>membuat</w:t>
      </w:r>
      <w:proofErr w:type="spellEnd"/>
      <w:r w:rsidR="00461C0B">
        <w:rPr>
          <w:sz w:val="20"/>
          <w:szCs w:val="20"/>
        </w:rPr>
        <w:t xml:space="preserve"> </w:t>
      </w:r>
      <w:proofErr w:type="spellStart"/>
      <w:r w:rsidR="00461C0B">
        <w:rPr>
          <w:sz w:val="20"/>
          <w:szCs w:val="20"/>
        </w:rPr>
        <w:t>remaja</w:t>
      </w:r>
      <w:proofErr w:type="spellEnd"/>
      <w:r w:rsidR="00461C0B">
        <w:rPr>
          <w:sz w:val="20"/>
          <w:szCs w:val="20"/>
        </w:rPr>
        <w:t xml:space="preserve"> </w:t>
      </w:r>
      <w:proofErr w:type="spellStart"/>
      <w:r w:rsidR="00461C0B">
        <w:rPr>
          <w:sz w:val="20"/>
          <w:szCs w:val="20"/>
        </w:rPr>
        <w:t>berperilaku</w:t>
      </w:r>
      <w:proofErr w:type="spellEnd"/>
      <w:r w:rsidR="00461C0B">
        <w:rPr>
          <w:sz w:val="20"/>
          <w:szCs w:val="20"/>
        </w:rPr>
        <w:t xml:space="preserve"> </w:t>
      </w:r>
      <w:proofErr w:type="spellStart"/>
      <w:r w:rsidR="00461C0B">
        <w:rPr>
          <w:sz w:val="20"/>
          <w:szCs w:val="20"/>
        </w:rPr>
        <w:t>merokok</w:t>
      </w:r>
      <w:proofErr w:type="spellEnd"/>
      <w:r w:rsidR="00461C0B">
        <w:rPr>
          <w:sz w:val="20"/>
          <w:szCs w:val="20"/>
        </w:rPr>
        <w:t xml:space="preserve">. </w:t>
      </w:r>
      <w:proofErr w:type="spellStart"/>
      <w:r w:rsidR="00461C0B">
        <w:rPr>
          <w:sz w:val="20"/>
          <w:szCs w:val="20"/>
        </w:rPr>
        <w:t>Diharapkan</w:t>
      </w:r>
      <w:proofErr w:type="spellEnd"/>
      <w:r w:rsidR="00461C0B">
        <w:rPr>
          <w:sz w:val="20"/>
          <w:szCs w:val="20"/>
        </w:rPr>
        <w:t xml:space="preserve"> </w:t>
      </w:r>
      <w:proofErr w:type="spellStart"/>
      <w:r w:rsidR="00461C0B">
        <w:rPr>
          <w:sz w:val="20"/>
          <w:szCs w:val="20"/>
        </w:rPr>
        <w:t>dari</w:t>
      </w:r>
      <w:proofErr w:type="spellEnd"/>
      <w:r w:rsidR="00461C0B">
        <w:rPr>
          <w:sz w:val="20"/>
          <w:szCs w:val="20"/>
        </w:rPr>
        <w:t xml:space="preserve"> </w:t>
      </w:r>
      <w:proofErr w:type="spellStart"/>
      <w:r w:rsidR="00461C0B">
        <w:rPr>
          <w:sz w:val="20"/>
          <w:szCs w:val="20"/>
        </w:rPr>
        <w:t>lingkungan</w:t>
      </w:r>
      <w:proofErr w:type="spellEnd"/>
      <w:r w:rsidR="00461C0B">
        <w:rPr>
          <w:sz w:val="20"/>
          <w:szCs w:val="20"/>
        </w:rPr>
        <w:t xml:space="preserve"> </w:t>
      </w:r>
      <w:proofErr w:type="spellStart"/>
      <w:r w:rsidR="00461C0B">
        <w:rPr>
          <w:sz w:val="20"/>
          <w:szCs w:val="20"/>
        </w:rPr>
        <w:t>keluarga</w:t>
      </w:r>
      <w:proofErr w:type="spellEnd"/>
      <w:r w:rsidR="00461C0B">
        <w:rPr>
          <w:sz w:val="20"/>
          <w:szCs w:val="20"/>
        </w:rPr>
        <w:t xml:space="preserve"> </w:t>
      </w:r>
      <w:proofErr w:type="spellStart"/>
      <w:r w:rsidR="00461C0B">
        <w:rPr>
          <w:sz w:val="20"/>
          <w:szCs w:val="20"/>
        </w:rPr>
        <w:t>khususnya</w:t>
      </w:r>
      <w:proofErr w:type="spellEnd"/>
      <w:r w:rsidR="00461C0B">
        <w:rPr>
          <w:sz w:val="20"/>
          <w:szCs w:val="20"/>
        </w:rPr>
        <w:t xml:space="preserve"> orang </w:t>
      </w:r>
      <w:proofErr w:type="spellStart"/>
      <w:r w:rsidR="00461C0B">
        <w:rPr>
          <w:sz w:val="20"/>
          <w:szCs w:val="20"/>
        </w:rPr>
        <w:t>tua</w:t>
      </w:r>
      <w:proofErr w:type="spellEnd"/>
      <w:r w:rsidR="00461C0B">
        <w:rPr>
          <w:sz w:val="20"/>
          <w:szCs w:val="20"/>
        </w:rPr>
        <w:t xml:space="preserve"> </w:t>
      </w:r>
      <w:proofErr w:type="spellStart"/>
      <w:r w:rsidR="00461C0B">
        <w:rPr>
          <w:sz w:val="20"/>
          <w:szCs w:val="20"/>
        </w:rPr>
        <w:t>dapat</w:t>
      </w:r>
      <w:proofErr w:type="spellEnd"/>
      <w:r w:rsidR="00461C0B">
        <w:rPr>
          <w:sz w:val="20"/>
          <w:szCs w:val="20"/>
        </w:rPr>
        <w:t xml:space="preserve"> </w:t>
      </w:r>
      <w:proofErr w:type="spellStart"/>
      <w:r w:rsidR="00461C0B">
        <w:rPr>
          <w:sz w:val="20"/>
          <w:szCs w:val="20"/>
        </w:rPr>
        <w:t>memberikan</w:t>
      </w:r>
      <w:proofErr w:type="spellEnd"/>
      <w:r w:rsidR="00461C0B">
        <w:rPr>
          <w:sz w:val="20"/>
          <w:szCs w:val="20"/>
        </w:rPr>
        <w:t xml:space="preserve"> </w:t>
      </w:r>
      <w:proofErr w:type="spellStart"/>
      <w:r w:rsidR="00461C0B">
        <w:rPr>
          <w:sz w:val="20"/>
          <w:szCs w:val="20"/>
        </w:rPr>
        <w:t>pemahaman</w:t>
      </w:r>
      <w:proofErr w:type="spellEnd"/>
      <w:r w:rsidR="00461C0B">
        <w:rPr>
          <w:sz w:val="20"/>
          <w:szCs w:val="20"/>
        </w:rPr>
        <w:t xml:space="preserve"> </w:t>
      </w:r>
      <w:proofErr w:type="spellStart"/>
      <w:r w:rsidR="00461C0B">
        <w:rPr>
          <w:sz w:val="20"/>
          <w:szCs w:val="20"/>
        </w:rPr>
        <w:t>kepada</w:t>
      </w:r>
      <w:proofErr w:type="spellEnd"/>
      <w:r w:rsidR="00461C0B">
        <w:rPr>
          <w:sz w:val="20"/>
          <w:szCs w:val="20"/>
        </w:rPr>
        <w:t xml:space="preserve"> </w:t>
      </w:r>
      <w:proofErr w:type="spellStart"/>
      <w:r w:rsidR="00461C0B">
        <w:rPr>
          <w:sz w:val="20"/>
          <w:szCs w:val="20"/>
        </w:rPr>
        <w:t>remaja</w:t>
      </w:r>
      <w:proofErr w:type="spellEnd"/>
      <w:r w:rsidR="00461C0B">
        <w:rPr>
          <w:sz w:val="20"/>
          <w:szCs w:val="20"/>
        </w:rPr>
        <w:t xml:space="preserve"> </w:t>
      </w:r>
      <w:proofErr w:type="spellStart"/>
      <w:r w:rsidR="00461C0B">
        <w:rPr>
          <w:sz w:val="20"/>
          <w:szCs w:val="20"/>
        </w:rPr>
        <w:t>tentang</w:t>
      </w:r>
      <w:proofErr w:type="spellEnd"/>
      <w:r w:rsidR="00461C0B">
        <w:rPr>
          <w:sz w:val="20"/>
          <w:szCs w:val="20"/>
        </w:rPr>
        <w:t xml:space="preserve"> </w:t>
      </w:r>
      <w:proofErr w:type="spellStart"/>
      <w:r w:rsidR="00461C0B">
        <w:rPr>
          <w:sz w:val="20"/>
          <w:szCs w:val="20"/>
        </w:rPr>
        <w:t>dampak</w:t>
      </w:r>
      <w:proofErr w:type="spellEnd"/>
      <w:r w:rsidR="00461C0B">
        <w:rPr>
          <w:sz w:val="20"/>
          <w:szCs w:val="20"/>
        </w:rPr>
        <w:t xml:space="preserve"> </w:t>
      </w:r>
      <w:proofErr w:type="spellStart"/>
      <w:r w:rsidR="00461C0B">
        <w:rPr>
          <w:sz w:val="20"/>
          <w:szCs w:val="20"/>
        </w:rPr>
        <w:t>perilaku</w:t>
      </w:r>
      <w:proofErr w:type="spellEnd"/>
      <w:r w:rsidR="00461C0B">
        <w:rPr>
          <w:sz w:val="20"/>
          <w:szCs w:val="20"/>
        </w:rPr>
        <w:t xml:space="preserve"> </w:t>
      </w:r>
      <w:proofErr w:type="spellStart"/>
      <w:r w:rsidR="00461C0B">
        <w:rPr>
          <w:sz w:val="20"/>
          <w:szCs w:val="20"/>
        </w:rPr>
        <w:t>merokok</w:t>
      </w:r>
      <w:proofErr w:type="spellEnd"/>
      <w:r w:rsidR="00461C0B">
        <w:rPr>
          <w:sz w:val="20"/>
          <w:szCs w:val="20"/>
        </w:rPr>
        <w:t xml:space="preserve"> </w:t>
      </w:r>
      <w:proofErr w:type="spellStart"/>
      <w:r w:rsidR="00461C0B">
        <w:rPr>
          <w:sz w:val="20"/>
          <w:szCs w:val="20"/>
        </w:rPr>
        <w:t>dan</w:t>
      </w:r>
      <w:proofErr w:type="spellEnd"/>
      <w:r w:rsidR="00461C0B">
        <w:rPr>
          <w:sz w:val="20"/>
          <w:szCs w:val="20"/>
        </w:rPr>
        <w:t xml:space="preserve"> </w:t>
      </w:r>
      <w:proofErr w:type="spellStart"/>
      <w:r w:rsidR="00461C0B">
        <w:rPr>
          <w:sz w:val="20"/>
          <w:szCs w:val="20"/>
        </w:rPr>
        <w:t>untuk</w:t>
      </w:r>
      <w:proofErr w:type="spellEnd"/>
      <w:r w:rsidR="00461C0B">
        <w:rPr>
          <w:sz w:val="20"/>
          <w:szCs w:val="20"/>
        </w:rPr>
        <w:t xml:space="preserve"> </w:t>
      </w:r>
      <w:proofErr w:type="spellStart"/>
      <w:r w:rsidR="00461C0B">
        <w:rPr>
          <w:sz w:val="20"/>
          <w:szCs w:val="20"/>
        </w:rPr>
        <w:t>para</w:t>
      </w:r>
      <w:proofErr w:type="spellEnd"/>
      <w:r w:rsidR="00461C0B">
        <w:rPr>
          <w:sz w:val="20"/>
          <w:szCs w:val="20"/>
        </w:rPr>
        <w:t xml:space="preserve"> </w:t>
      </w:r>
      <w:proofErr w:type="spellStart"/>
      <w:r w:rsidR="00461C0B">
        <w:rPr>
          <w:sz w:val="20"/>
          <w:szCs w:val="20"/>
        </w:rPr>
        <w:t>remaja</w:t>
      </w:r>
      <w:proofErr w:type="spellEnd"/>
      <w:r w:rsidR="00461C0B">
        <w:rPr>
          <w:sz w:val="20"/>
          <w:szCs w:val="20"/>
        </w:rPr>
        <w:t xml:space="preserve"> </w:t>
      </w:r>
      <w:proofErr w:type="spellStart"/>
      <w:r w:rsidR="00461C0B">
        <w:rPr>
          <w:sz w:val="20"/>
          <w:szCs w:val="20"/>
        </w:rPr>
        <w:t>dapat</w:t>
      </w:r>
      <w:proofErr w:type="spellEnd"/>
      <w:r w:rsidR="00461C0B">
        <w:rPr>
          <w:sz w:val="20"/>
          <w:szCs w:val="20"/>
        </w:rPr>
        <w:t xml:space="preserve"> </w:t>
      </w:r>
      <w:proofErr w:type="spellStart"/>
      <w:r w:rsidR="00461C0B">
        <w:rPr>
          <w:sz w:val="20"/>
          <w:szCs w:val="20"/>
        </w:rPr>
        <w:t>lebih</w:t>
      </w:r>
      <w:proofErr w:type="spellEnd"/>
      <w:r w:rsidR="00461C0B">
        <w:rPr>
          <w:sz w:val="20"/>
          <w:szCs w:val="20"/>
        </w:rPr>
        <w:t xml:space="preserve"> </w:t>
      </w:r>
      <w:proofErr w:type="spellStart"/>
      <w:r w:rsidR="00461C0B">
        <w:rPr>
          <w:sz w:val="20"/>
          <w:szCs w:val="20"/>
        </w:rPr>
        <w:t>selektif</w:t>
      </w:r>
      <w:proofErr w:type="spellEnd"/>
      <w:r w:rsidR="00461C0B">
        <w:rPr>
          <w:sz w:val="20"/>
          <w:szCs w:val="20"/>
        </w:rPr>
        <w:t xml:space="preserve"> </w:t>
      </w:r>
      <w:proofErr w:type="spellStart"/>
      <w:r w:rsidR="00461C0B">
        <w:rPr>
          <w:sz w:val="20"/>
          <w:szCs w:val="20"/>
        </w:rPr>
        <w:t>lagi</w:t>
      </w:r>
      <w:proofErr w:type="spellEnd"/>
      <w:r w:rsidR="00461C0B">
        <w:rPr>
          <w:sz w:val="20"/>
          <w:szCs w:val="20"/>
        </w:rPr>
        <w:t xml:space="preserve"> </w:t>
      </w:r>
      <w:proofErr w:type="spellStart"/>
      <w:r w:rsidR="00461C0B">
        <w:rPr>
          <w:sz w:val="20"/>
          <w:szCs w:val="20"/>
        </w:rPr>
        <w:t>memilih</w:t>
      </w:r>
      <w:proofErr w:type="spellEnd"/>
      <w:r w:rsidR="00461C0B">
        <w:rPr>
          <w:sz w:val="20"/>
          <w:szCs w:val="20"/>
        </w:rPr>
        <w:t xml:space="preserve"> </w:t>
      </w:r>
      <w:proofErr w:type="spellStart"/>
      <w:r w:rsidR="00461C0B">
        <w:rPr>
          <w:sz w:val="20"/>
          <w:szCs w:val="20"/>
        </w:rPr>
        <w:t>teman</w:t>
      </w:r>
      <w:proofErr w:type="spellEnd"/>
      <w:r w:rsidR="00461C0B">
        <w:rPr>
          <w:sz w:val="20"/>
          <w:szCs w:val="20"/>
        </w:rPr>
        <w:t xml:space="preserve"> </w:t>
      </w:r>
      <w:proofErr w:type="spellStart"/>
      <w:r w:rsidR="00461C0B">
        <w:rPr>
          <w:sz w:val="20"/>
          <w:szCs w:val="20"/>
        </w:rPr>
        <w:t>untuk</w:t>
      </w:r>
      <w:proofErr w:type="spellEnd"/>
      <w:r w:rsidR="00461C0B">
        <w:rPr>
          <w:sz w:val="20"/>
          <w:szCs w:val="20"/>
        </w:rPr>
        <w:t xml:space="preserve"> </w:t>
      </w:r>
      <w:proofErr w:type="spellStart"/>
      <w:r w:rsidR="00461C0B">
        <w:rPr>
          <w:sz w:val="20"/>
          <w:szCs w:val="20"/>
        </w:rPr>
        <w:t>bergaul</w:t>
      </w:r>
      <w:proofErr w:type="spellEnd"/>
      <w:r w:rsidR="001E0CD2">
        <w:rPr>
          <w:sz w:val="20"/>
          <w:szCs w:val="20"/>
        </w:rPr>
        <w:t xml:space="preserve"> </w:t>
      </w:r>
      <w:proofErr w:type="spellStart"/>
      <w:r w:rsidR="001E0CD2">
        <w:rPr>
          <w:sz w:val="20"/>
          <w:szCs w:val="20"/>
        </w:rPr>
        <w:t>dan</w:t>
      </w:r>
      <w:proofErr w:type="spellEnd"/>
      <w:r w:rsidR="001E0CD2">
        <w:rPr>
          <w:sz w:val="20"/>
          <w:szCs w:val="20"/>
        </w:rPr>
        <w:t xml:space="preserve"> </w:t>
      </w:r>
      <w:proofErr w:type="spellStart"/>
      <w:r w:rsidR="001E0CD2">
        <w:rPr>
          <w:sz w:val="20"/>
          <w:szCs w:val="20"/>
        </w:rPr>
        <w:t>lebih</w:t>
      </w:r>
      <w:proofErr w:type="spellEnd"/>
      <w:r w:rsidR="001E0CD2">
        <w:rPr>
          <w:sz w:val="20"/>
          <w:szCs w:val="20"/>
        </w:rPr>
        <w:t xml:space="preserve"> </w:t>
      </w:r>
      <w:proofErr w:type="spellStart"/>
      <w:r w:rsidR="001E0CD2">
        <w:rPr>
          <w:sz w:val="20"/>
          <w:szCs w:val="20"/>
        </w:rPr>
        <w:t>berani</w:t>
      </w:r>
      <w:proofErr w:type="spellEnd"/>
      <w:r w:rsidR="001E0CD2">
        <w:rPr>
          <w:sz w:val="20"/>
          <w:szCs w:val="20"/>
        </w:rPr>
        <w:t xml:space="preserve"> </w:t>
      </w:r>
      <w:proofErr w:type="spellStart"/>
      <w:r w:rsidR="001E0CD2">
        <w:rPr>
          <w:sz w:val="20"/>
          <w:szCs w:val="20"/>
        </w:rPr>
        <w:t>untuk</w:t>
      </w:r>
      <w:proofErr w:type="spellEnd"/>
      <w:r w:rsidR="001E0CD2">
        <w:rPr>
          <w:sz w:val="20"/>
          <w:szCs w:val="20"/>
        </w:rPr>
        <w:t xml:space="preserve"> </w:t>
      </w:r>
      <w:proofErr w:type="spellStart"/>
      <w:r w:rsidR="001E0CD2">
        <w:rPr>
          <w:sz w:val="20"/>
          <w:szCs w:val="20"/>
        </w:rPr>
        <w:t>menolak</w:t>
      </w:r>
      <w:proofErr w:type="spellEnd"/>
      <w:r w:rsidR="001E0CD2">
        <w:rPr>
          <w:sz w:val="20"/>
          <w:szCs w:val="20"/>
        </w:rPr>
        <w:t xml:space="preserve"> </w:t>
      </w:r>
      <w:proofErr w:type="spellStart"/>
      <w:r w:rsidR="001E0CD2">
        <w:rPr>
          <w:sz w:val="20"/>
          <w:szCs w:val="20"/>
        </w:rPr>
        <w:t>ajakan</w:t>
      </w:r>
      <w:proofErr w:type="spellEnd"/>
      <w:r w:rsidR="001E0CD2">
        <w:rPr>
          <w:sz w:val="20"/>
          <w:szCs w:val="20"/>
        </w:rPr>
        <w:t xml:space="preserve"> </w:t>
      </w:r>
      <w:proofErr w:type="spellStart"/>
      <w:r w:rsidR="001E0CD2">
        <w:rPr>
          <w:sz w:val="20"/>
          <w:szCs w:val="20"/>
        </w:rPr>
        <w:t>teman</w:t>
      </w:r>
      <w:proofErr w:type="spellEnd"/>
      <w:r w:rsidR="001E0CD2">
        <w:rPr>
          <w:sz w:val="20"/>
          <w:szCs w:val="20"/>
        </w:rPr>
        <w:t xml:space="preserve"> </w:t>
      </w:r>
      <w:proofErr w:type="spellStart"/>
      <w:r w:rsidR="001E0CD2">
        <w:rPr>
          <w:sz w:val="20"/>
          <w:szCs w:val="20"/>
        </w:rPr>
        <w:t>untuk</w:t>
      </w:r>
      <w:proofErr w:type="spellEnd"/>
      <w:r w:rsidR="001E0CD2">
        <w:rPr>
          <w:sz w:val="20"/>
          <w:szCs w:val="20"/>
        </w:rPr>
        <w:t xml:space="preserve"> </w:t>
      </w:r>
      <w:proofErr w:type="spellStart"/>
      <w:r w:rsidR="001E0CD2">
        <w:rPr>
          <w:sz w:val="20"/>
          <w:szCs w:val="20"/>
        </w:rPr>
        <w:t>berperilaku</w:t>
      </w:r>
      <w:proofErr w:type="spellEnd"/>
      <w:r w:rsidR="001E0CD2">
        <w:rPr>
          <w:sz w:val="20"/>
          <w:szCs w:val="20"/>
        </w:rPr>
        <w:t xml:space="preserve"> </w:t>
      </w:r>
      <w:proofErr w:type="spellStart"/>
      <w:r w:rsidR="001E0CD2">
        <w:rPr>
          <w:sz w:val="20"/>
          <w:szCs w:val="20"/>
        </w:rPr>
        <w:t>merokok</w:t>
      </w:r>
      <w:proofErr w:type="spellEnd"/>
      <w:r w:rsidR="001E0CD2">
        <w:rPr>
          <w:sz w:val="20"/>
          <w:szCs w:val="20"/>
        </w:rPr>
        <w:t>.</w:t>
      </w:r>
      <w:r w:rsidR="00DD328C" w:rsidRPr="00F50129">
        <w:rPr>
          <w:sz w:val="20"/>
          <w:szCs w:val="20"/>
        </w:rPr>
        <w:t xml:space="preserve"> </w:t>
      </w:r>
    </w:p>
    <w:p w14:paraId="62CA4228" w14:textId="77777777" w:rsidR="00DD19D4" w:rsidRPr="00F50129" w:rsidRDefault="00DD19D4" w:rsidP="00DD19D4">
      <w:pPr>
        <w:pStyle w:val="NormalWeb"/>
        <w:spacing w:before="86" w:beforeAutospacing="0" w:after="0" w:afterAutospacing="0"/>
        <w:jc w:val="both"/>
        <w:textAlignment w:val="baseline"/>
        <w:rPr>
          <w:sz w:val="20"/>
          <w:szCs w:val="20"/>
        </w:rPr>
      </w:pPr>
    </w:p>
    <w:p w14:paraId="63B59CB1" w14:textId="478E50AC" w:rsidR="000D5504" w:rsidRDefault="006840C2" w:rsidP="00584269">
      <w:pPr>
        <w:pStyle w:val="NormalWeb"/>
        <w:spacing w:before="0" w:beforeAutospacing="0" w:after="0" w:afterAutospacing="0"/>
        <w:jc w:val="both"/>
        <w:textAlignment w:val="baseline"/>
        <w:rPr>
          <w:sz w:val="20"/>
          <w:szCs w:val="20"/>
        </w:rPr>
      </w:pPr>
      <w:r w:rsidRPr="00F50129">
        <w:rPr>
          <w:b/>
          <w:sz w:val="20"/>
          <w:szCs w:val="20"/>
        </w:rPr>
        <w:t xml:space="preserve">Kata </w:t>
      </w:r>
      <w:proofErr w:type="spellStart"/>
      <w:r w:rsidRPr="00F50129">
        <w:rPr>
          <w:b/>
          <w:sz w:val="20"/>
          <w:szCs w:val="20"/>
        </w:rPr>
        <w:t>kunci</w:t>
      </w:r>
      <w:proofErr w:type="spellEnd"/>
      <w:r w:rsidRPr="00F50129">
        <w:rPr>
          <w:b/>
          <w:sz w:val="20"/>
          <w:szCs w:val="20"/>
        </w:rPr>
        <w:t>:</w:t>
      </w:r>
      <w:r w:rsidRPr="00F50129">
        <w:rPr>
          <w:sz w:val="20"/>
          <w:szCs w:val="20"/>
        </w:rPr>
        <w:t xml:space="preserve"> </w:t>
      </w:r>
      <w:proofErr w:type="spellStart"/>
      <w:r w:rsidR="00496275">
        <w:rPr>
          <w:sz w:val="20"/>
          <w:szCs w:val="20"/>
        </w:rPr>
        <w:t>D</w:t>
      </w:r>
      <w:r w:rsidR="001E0CD2">
        <w:rPr>
          <w:sz w:val="20"/>
          <w:szCs w:val="20"/>
        </w:rPr>
        <w:t>ukungan</w:t>
      </w:r>
      <w:proofErr w:type="spellEnd"/>
      <w:r w:rsidR="001E0CD2">
        <w:rPr>
          <w:sz w:val="20"/>
          <w:szCs w:val="20"/>
        </w:rPr>
        <w:t xml:space="preserve"> </w:t>
      </w:r>
      <w:proofErr w:type="spellStart"/>
      <w:r w:rsidR="001E0CD2">
        <w:rPr>
          <w:sz w:val="20"/>
          <w:szCs w:val="20"/>
        </w:rPr>
        <w:t>sosial</w:t>
      </w:r>
      <w:proofErr w:type="spellEnd"/>
      <w:r w:rsidR="001E0CD2">
        <w:rPr>
          <w:sz w:val="20"/>
          <w:szCs w:val="20"/>
        </w:rPr>
        <w:t xml:space="preserve">, </w:t>
      </w:r>
      <w:proofErr w:type="spellStart"/>
      <w:r w:rsidR="001E0CD2">
        <w:rPr>
          <w:sz w:val="20"/>
          <w:szCs w:val="20"/>
        </w:rPr>
        <w:t>perilaku</w:t>
      </w:r>
      <w:proofErr w:type="spellEnd"/>
      <w:r w:rsidR="001E0CD2">
        <w:rPr>
          <w:sz w:val="20"/>
          <w:szCs w:val="20"/>
        </w:rPr>
        <w:t xml:space="preserve"> </w:t>
      </w:r>
      <w:proofErr w:type="spellStart"/>
      <w:r w:rsidR="001E0CD2">
        <w:rPr>
          <w:sz w:val="20"/>
          <w:szCs w:val="20"/>
        </w:rPr>
        <w:t>merokok</w:t>
      </w:r>
      <w:proofErr w:type="spellEnd"/>
      <w:r w:rsidR="00DD328C" w:rsidRPr="00F50129">
        <w:rPr>
          <w:sz w:val="20"/>
          <w:szCs w:val="20"/>
        </w:rPr>
        <w:t>,</w:t>
      </w:r>
      <w:r w:rsidR="001E0CD2">
        <w:rPr>
          <w:sz w:val="20"/>
          <w:szCs w:val="20"/>
        </w:rPr>
        <w:t xml:space="preserve"> </w:t>
      </w:r>
      <w:proofErr w:type="spellStart"/>
      <w:r w:rsidR="001E0CD2">
        <w:rPr>
          <w:sz w:val="20"/>
          <w:szCs w:val="20"/>
        </w:rPr>
        <w:t>rokok</w:t>
      </w:r>
      <w:proofErr w:type="spellEnd"/>
      <w:r w:rsidR="001E0CD2">
        <w:rPr>
          <w:sz w:val="20"/>
          <w:szCs w:val="20"/>
        </w:rPr>
        <w:t xml:space="preserve"> </w:t>
      </w:r>
      <w:proofErr w:type="spellStart"/>
      <w:r w:rsidR="001E0CD2">
        <w:rPr>
          <w:sz w:val="20"/>
          <w:szCs w:val="20"/>
        </w:rPr>
        <w:t>elektrik</w:t>
      </w:r>
      <w:proofErr w:type="spellEnd"/>
      <w:r w:rsidR="001E0CD2">
        <w:rPr>
          <w:sz w:val="20"/>
          <w:szCs w:val="20"/>
        </w:rPr>
        <w:t xml:space="preserve">, </w:t>
      </w:r>
      <w:proofErr w:type="spellStart"/>
      <w:r w:rsidR="001E0CD2">
        <w:rPr>
          <w:sz w:val="20"/>
          <w:szCs w:val="20"/>
        </w:rPr>
        <w:t>remaja</w:t>
      </w:r>
      <w:proofErr w:type="spellEnd"/>
      <w:r w:rsidR="001E0CD2">
        <w:rPr>
          <w:sz w:val="20"/>
          <w:szCs w:val="20"/>
        </w:rPr>
        <w:t xml:space="preserve"> </w:t>
      </w:r>
      <w:proofErr w:type="spellStart"/>
      <w:proofErr w:type="gramStart"/>
      <w:r w:rsidR="001E0CD2">
        <w:rPr>
          <w:sz w:val="20"/>
          <w:szCs w:val="20"/>
        </w:rPr>
        <w:t>usia</w:t>
      </w:r>
      <w:proofErr w:type="spellEnd"/>
      <w:proofErr w:type="gramEnd"/>
      <w:r w:rsidR="001E0CD2">
        <w:rPr>
          <w:sz w:val="20"/>
          <w:szCs w:val="20"/>
        </w:rPr>
        <w:t xml:space="preserve"> SMA</w:t>
      </w:r>
      <w:r w:rsidR="00DD328C" w:rsidRPr="00F50129">
        <w:rPr>
          <w:sz w:val="20"/>
          <w:szCs w:val="20"/>
        </w:rPr>
        <w:t xml:space="preserve"> </w:t>
      </w:r>
    </w:p>
    <w:p w14:paraId="7F48FBED" w14:textId="77777777" w:rsidR="00584269" w:rsidRPr="00584269" w:rsidRDefault="00584269" w:rsidP="00584269">
      <w:pPr>
        <w:pStyle w:val="NormalWeb"/>
        <w:spacing w:before="0" w:beforeAutospacing="0" w:after="0" w:afterAutospacing="0"/>
        <w:jc w:val="both"/>
        <w:textAlignment w:val="baseline"/>
        <w:rPr>
          <w:sz w:val="20"/>
          <w:szCs w:val="20"/>
        </w:rPr>
      </w:pPr>
    </w:p>
    <w:p w14:paraId="15B0ACBB" w14:textId="566C46FE" w:rsidR="00DD19D4" w:rsidRPr="00F50129" w:rsidRDefault="00DD19D4" w:rsidP="00584269">
      <w:pPr>
        <w:pStyle w:val="NormalWeb"/>
        <w:spacing w:before="86" w:beforeAutospacing="0" w:after="0" w:afterAutospacing="0"/>
        <w:jc w:val="center"/>
        <w:textAlignment w:val="baseline"/>
        <w:outlineLvl w:val="0"/>
        <w:rPr>
          <w:rFonts w:eastAsia="MS Mincho"/>
          <w:b/>
          <w:bCs/>
          <w:i/>
          <w:kern w:val="24"/>
          <w:sz w:val="20"/>
          <w:szCs w:val="20"/>
        </w:rPr>
      </w:pPr>
      <w:r w:rsidRPr="00F50129">
        <w:rPr>
          <w:rFonts w:eastAsia="MS Mincho"/>
          <w:b/>
          <w:bCs/>
          <w:i/>
          <w:kern w:val="24"/>
          <w:sz w:val="20"/>
          <w:szCs w:val="20"/>
        </w:rPr>
        <w:t>ABSTRACT</w:t>
      </w:r>
    </w:p>
    <w:p w14:paraId="27569582" w14:textId="77777777" w:rsidR="00584269" w:rsidRDefault="00584269" w:rsidP="00DD19D4">
      <w:pPr>
        <w:pStyle w:val="NormalWeb"/>
        <w:spacing w:before="86" w:beforeAutospacing="0" w:after="0" w:afterAutospacing="0"/>
        <w:jc w:val="both"/>
        <w:textAlignment w:val="baseline"/>
        <w:rPr>
          <w:b/>
          <w:i/>
          <w:sz w:val="20"/>
          <w:szCs w:val="20"/>
        </w:rPr>
      </w:pPr>
    </w:p>
    <w:p w14:paraId="35DF44FF" w14:textId="6AB11A9B" w:rsidR="0010291D"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b/>
          <w:i/>
          <w:sz w:val="20"/>
          <w:szCs w:val="20"/>
        </w:rPr>
        <w:t>Background:</w:t>
      </w:r>
      <w:r w:rsidR="00B9599C">
        <w:rPr>
          <w:b/>
          <w:i/>
          <w:sz w:val="20"/>
          <w:szCs w:val="20"/>
        </w:rPr>
        <w:t xml:space="preserve"> </w:t>
      </w:r>
      <w:r w:rsidR="00B9599C" w:rsidRPr="00B9599C">
        <w:rPr>
          <w:i/>
          <w:iCs/>
          <w:sz w:val="20"/>
          <w:szCs w:val="20"/>
        </w:rPr>
        <w:t>Smoking has a negative impact on health in people of all ages, especially adolescents. With technological advancements, cigarettes have taken on a new form: e-cigarettes. The US Food and Drug Administration (FDA) has begun to prohibit the use of e-cigarettes because they contain hazardous and carcinogenic tobacco specific nitrosamines and diethylene glycol (DEG). However, e-cigarettes are becoming increasingly popular in Indonesia, with an increasing number of users.</w:t>
      </w:r>
      <w:r w:rsidRPr="00F50129">
        <w:rPr>
          <w:i/>
          <w:sz w:val="20"/>
          <w:szCs w:val="20"/>
        </w:rPr>
        <w:t xml:space="preserve"> </w:t>
      </w:r>
      <w:r w:rsidRPr="00F50129">
        <w:rPr>
          <w:rFonts w:eastAsia="MS Mincho"/>
          <w:bCs/>
          <w:i/>
          <w:kern w:val="24"/>
          <w:sz w:val="20"/>
          <w:szCs w:val="20"/>
        </w:rPr>
        <w:t xml:space="preserve"> </w:t>
      </w:r>
    </w:p>
    <w:p w14:paraId="5166B3EA" w14:textId="12456C51" w:rsidR="0010291D" w:rsidRPr="00F50129" w:rsidRDefault="000D5504" w:rsidP="00DD19D4">
      <w:pPr>
        <w:pStyle w:val="NormalWeb"/>
        <w:spacing w:before="86" w:beforeAutospacing="0" w:after="0" w:afterAutospacing="0"/>
        <w:jc w:val="both"/>
        <w:textAlignment w:val="baseline"/>
        <w:rPr>
          <w:rFonts w:eastAsia="MS Mincho"/>
          <w:b/>
          <w:bCs/>
          <w:i/>
          <w:kern w:val="24"/>
          <w:sz w:val="20"/>
          <w:szCs w:val="20"/>
        </w:rPr>
      </w:pPr>
      <w:r w:rsidRPr="00F50129">
        <w:rPr>
          <w:rFonts w:eastAsia="MS Mincho"/>
          <w:b/>
          <w:bCs/>
          <w:i/>
          <w:kern w:val="24"/>
          <w:sz w:val="20"/>
          <w:szCs w:val="20"/>
        </w:rPr>
        <w:t xml:space="preserve">Objectives: </w:t>
      </w:r>
      <w:r w:rsidR="004108D5">
        <w:rPr>
          <w:rFonts w:eastAsia="MS Mincho"/>
          <w:i/>
          <w:kern w:val="24"/>
          <w:sz w:val="20"/>
          <w:szCs w:val="20"/>
        </w:rPr>
        <w:t xml:space="preserve">To </w:t>
      </w:r>
      <w:r w:rsidR="00B9599C" w:rsidRPr="00465D51">
        <w:rPr>
          <w:rFonts w:eastAsia="MS Mincho"/>
          <w:i/>
          <w:kern w:val="24"/>
          <w:sz w:val="20"/>
          <w:szCs w:val="20"/>
        </w:rPr>
        <w:t>investigate the relationship between social support on smoking/vaping behaviors of senior high age adolescents in Surabaya.</w:t>
      </w:r>
    </w:p>
    <w:p w14:paraId="6C110A92" w14:textId="69221A03" w:rsidR="0010291D"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t>Methods:</w:t>
      </w:r>
      <w:r w:rsidRPr="00F50129">
        <w:rPr>
          <w:rFonts w:eastAsia="MS Mincho"/>
          <w:bCs/>
          <w:i/>
          <w:kern w:val="24"/>
          <w:sz w:val="20"/>
          <w:szCs w:val="20"/>
        </w:rPr>
        <w:t xml:space="preserve"> </w:t>
      </w:r>
      <w:r w:rsidR="00465D51" w:rsidRPr="00465D51">
        <w:rPr>
          <w:rFonts w:eastAsia="MS Mincho"/>
          <w:bCs/>
          <w:i/>
          <w:kern w:val="24"/>
          <w:sz w:val="20"/>
          <w:szCs w:val="20"/>
        </w:rPr>
        <w:t xml:space="preserve">This is a quantitative study with a cross-sectional and observational analytic design. The total number of respondents in this study was 145, as determined by the snowball sampling method. The independent variable </w:t>
      </w:r>
      <w:r w:rsidR="00465D51" w:rsidRPr="00465D51">
        <w:rPr>
          <w:rFonts w:eastAsia="MS Mincho"/>
          <w:bCs/>
          <w:i/>
          <w:kern w:val="24"/>
          <w:sz w:val="20"/>
          <w:szCs w:val="20"/>
        </w:rPr>
        <w:lastRenderedPageBreak/>
        <w:t>is social support. Social support consists of instrumental support, informational support, emotional support, and appraisal support. The behavior of smoking</w:t>
      </w:r>
      <w:r w:rsidR="00B042E3">
        <w:rPr>
          <w:rFonts w:eastAsia="MS Mincho"/>
          <w:bCs/>
          <w:i/>
          <w:kern w:val="24"/>
          <w:sz w:val="20"/>
          <w:szCs w:val="20"/>
        </w:rPr>
        <w:t>/</w:t>
      </w:r>
      <w:r w:rsidR="00465D51" w:rsidRPr="00465D51">
        <w:rPr>
          <w:rFonts w:eastAsia="MS Mincho"/>
          <w:bCs/>
          <w:i/>
          <w:kern w:val="24"/>
          <w:sz w:val="20"/>
          <w:szCs w:val="20"/>
        </w:rPr>
        <w:t>vaping is the dependent variable.</w:t>
      </w:r>
    </w:p>
    <w:p w14:paraId="065B252D" w14:textId="22D9588F" w:rsidR="0077714F" w:rsidRPr="00F50129" w:rsidRDefault="000D5504" w:rsidP="00DD19D4">
      <w:pPr>
        <w:pStyle w:val="NormalWeb"/>
        <w:spacing w:before="86" w:beforeAutospacing="0" w:after="0" w:afterAutospacing="0"/>
        <w:jc w:val="both"/>
        <w:textAlignment w:val="baseline"/>
        <w:rPr>
          <w:rFonts w:eastAsia="MS Mincho"/>
          <w:bCs/>
          <w:i/>
          <w:kern w:val="24"/>
          <w:sz w:val="20"/>
          <w:szCs w:val="20"/>
        </w:rPr>
      </w:pPr>
      <w:r w:rsidRPr="00F50129">
        <w:rPr>
          <w:rStyle w:val="highlight"/>
          <w:b/>
          <w:i/>
          <w:sz w:val="20"/>
          <w:szCs w:val="20"/>
          <w:shd w:val="clear" w:color="auto" w:fill="FFFFFF"/>
        </w:rPr>
        <w:t xml:space="preserve">Results: </w:t>
      </w:r>
      <w:r w:rsidR="00673459" w:rsidRPr="00673459">
        <w:rPr>
          <w:rFonts w:eastAsia="MS Mincho"/>
          <w:bCs/>
          <w:i/>
          <w:kern w:val="24"/>
          <w:sz w:val="20"/>
          <w:szCs w:val="20"/>
        </w:rPr>
        <w:t>The relationship among variables was measured by using Pearson Chi-Square Test. The result shows that there is a relationship of instrumental support (p=0.000), informational support (0.019), emotional support (p=0.000), and appraisal support (p=0.000) on smoking / vaping behavior in senior high age adolescents</w:t>
      </w:r>
      <w:r w:rsidR="00673459">
        <w:rPr>
          <w:rFonts w:eastAsia="MS Mincho"/>
          <w:bCs/>
          <w:i/>
          <w:kern w:val="24"/>
          <w:sz w:val="20"/>
          <w:szCs w:val="20"/>
        </w:rPr>
        <w:t>.</w:t>
      </w:r>
    </w:p>
    <w:p w14:paraId="71ADDFC0" w14:textId="66C6B9C1" w:rsidR="000D5504" w:rsidRPr="00F50129" w:rsidRDefault="0010291D" w:rsidP="00DD19D4">
      <w:pPr>
        <w:pStyle w:val="NormalWeb"/>
        <w:spacing w:before="86" w:beforeAutospacing="0" w:after="0" w:afterAutospacing="0"/>
        <w:jc w:val="both"/>
        <w:textAlignment w:val="baseline"/>
        <w:rPr>
          <w:rFonts w:eastAsia="MS Mincho"/>
          <w:bCs/>
          <w:i/>
          <w:kern w:val="24"/>
          <w:sz w:val="20"/>
          <w:szCs w:val="20"/>
        </w:rPr>
      </w:pPr>
      <w:r w:rsidRPr="00F50129">
        <w:rPr>
          <w:rFonts w:eastAsia="MS Mincho"/>
          <w:b/>
          <w:bCs/>
          <w:i/>
          <w:kern w:val="24"/>
          <w:sz w:val="20"/>
          <w:szCs w:val="20"/>
        </w:rPr>
        <w:t>Conclusions:</w:t>
      </w:r>
      <w:r w:rsidR="00673459">
        <w:rPr>
          <w:i/>
          <w:sz w:val="20"/>
          <w:szCs w:val="20"/>
        </w:rPr>
        <w:t xml:space="preserve"> </w:t>
      </w:r>
      <w:r w:rsidR="00673459" w:rsidRPr="00673459">
        <w:rPr>
          <w:i/>
          <w:sz w:val="20"/>
          <w:szCs w:val="20"/>
        </w:rPr>
        <w:t>There is a relationship</w:t>
      </w:r>
      <w:r w:rsidR="0085254E">
        <w:rPr>
          <w:i/>
          <w:sz w:val="20"/>
          <w:szCs w:val="20"/>
        </w:rPr>
        <w:t xml:space="preserve"> between</w:t>
      </w:r>
      <w:r w:rsidR="00673459" w:rsidRPr="00673459">
        <w:rPr>
          <w:i/>
          <w:sz w:val="20"/>
          <w:szCs w:val="20"/>
        </w:rPr>
        <w:t xml:space="preserve"> social support and smoking / vaping behavior </w:t>
      </w:r>
      <w:r w:rsidR="0085254E">
        <w:rPr>
          <w:i/>
          <w:sz w:val="20"/>
          <w:szCs w:val="20"/>
        </w:rPr>
        <w:t>of</w:t>
      </w:r>
      <w:r w:rsidR="00673459" w:rsidRPr="00673459">
        <w:rPr>
          <w:i/>
          <w:sz w:val="20"/>
          <w:szCs w:val="20"/>
        </w:rPr>
        <w:t xml:space="preserve"> high school age adolescents in Surabaya. Social support is important since it can influence the adolescents smoking behavior. It is hoped the family such as parents can provide a better understanding of the effect of smoking on health</w:t>
      </w:r>
      <w:r w:rsidR="00461C0B">
        <w:rPr>
          <w:i/>
          <w:sz w:val="20"/>
          <w:szCs w:val="20"/>
        </w:rPr>
        <w:t xml:space="preserve"> and for a</w:t>
      </w:r>
      <w:r w:rsidR="00673459" w:rsidRPr="00673459">
        <w:rPr>
          <w:i/>
          <w:sz w:val="20"/>
          <w:szCs w:val="20"/>
        </w:rPr>
        <w:t>dolescents should be more selective with whom they hang out with and have the courage to refuse a friend's invitation to smoke</w:t>
      </w:r>
      <w:r w:rsidR="00673459">
        <w:rPr>
          <w:i/>
          <w:sz w:val="20"/>
          <w:szCs w:val="20"/>
        </w:rPr>
        <w:t>.</w:t>
      </w:r>
      <w:r w:rsidR="000D5504" w:rsidRPr="00F50129">
        <w:rPr>
          <w:rFonts w:eastAsia="MS Mincho"/>
          <w:bCs/>
          <w:i/>
          <w:kern w:val="24"/>
          <w:sz w:val="20"/>
          <w:szCs w:val="20"/>
        </w:rPr>
        <w:t xml:space="preserve"> </w:t>
      </w:r>
    </w:p>
    <w:p w14:paraId="366DAFA1" w14:textId="77777777" w:rsidR="00DD19D4" w:rsidRPr="00F50129" w:rsidRDefault="00DD19D4" w:rsidP="00DD19D4">
      <w:pPr>
        <w:pStyle w:val="NormalWeb"/>
        <w:spacing w:before="86" w:beforeAutospacing="0" w:after="0" w:afterAutospacing="0"/>
        <w:jc w:val="both"/>
        <w:textAlignment w:val="baseline"/>
        <w:rPr>
          <w:rFonts w:eastAsia="MS Mincho"/>
          <w:bCs/>
          <w:i/>
          <w:kern w:val="24"/>
          <w:sz w:val="20"/>
          <w:szCs w:val="20"/>
        </w:rPr>
      </w:pPr>
    </w:p>
    <w:p w14:paraId="28F7761A" w14:textId="1B903126" w:rsidR="000D5504" w:rsidRPr="00F50129" w:rsidRDefault="000D5504" w:rsidP="00DD19D4">
      <w:pPr>
        <w:pStyle w:val="NormalWeb"/>
        <w:spacing w:before="0" w:beforeAutospacing="0" w:after="0" w:afterAutospacing="0"/>
        <w:jc w:val="both"/>
        <w:textAlignment w:val="baseline"/>
        <w:rPr>
          <w:i/>
          <w:sz w:val="20"/>
          <w:szCs w:val="20"/>
        </w:rPr>
      </w:pPr>
      <w:r w:rsidRPr="00F50129">
        <w:rPr>
          <w:b/>
          <w:i/>
          <w:sz w:val="20"/>
          <w:szCs w:val="20"/>
        </w:rPr>
        <w:t>Keywords:</w:t>
      </w:r>
      <w:r w:rsidRPr="00F50129">
        <w:rPr>
          <w:i/>
          <w:sz w:val="20"/>
          <w:szCs w:val="20"/>
        </w:rPr>
        <w:t xml:space="preserve"> </w:t>
      </w:r>
      <w:r w:rsidR="001E0CD2">
        <w:rPr>
          <w:i/>
          <w:sz w:val="20"/>
          <w:szCs w:val="20"/>
        </w:rPr>
        <w:t>social support, smoking behavior, electric cigarettes, senior high age adolescents</w:t>
      </w:r>
      <w:r w:rsidRPr="00F50129">
        <w:rPr>
          <w:i/>
          <w:sz w:val="20"/>
          <w:szCs w:val="20"/>
        </w:rPr>
        <w:t xml:space="preserve"> </w:t>
      </w:r>
    </w:p>
    <w:p w14:paraId="205A4571" w14:textId="77777777" w:rsidR="00404112" w:rsidRPr="00F50129" w:rsidRDefault="00404112" w:rsidP="00DD19D4">
      <w:pPr>
        <w:pStyle w:val="NormalWeb"/>
        <w:spacing w:before="0" w:beforeAutospacing="0" w:after="0" w:afterAutospacing="0"/>
        <w:jc w:val="both"/>
        <w:textAlignment w:val="baseline"/>
        <w:rPr>
          <w:i/>
          <w:sz w:val="20"/>
          <w:szCs w:val="20"/>
        </w:rPr>
      </w:pPr>
    </w:p>
    <w:p w14:paraId="4226B506" w14:textId="77777777" w:rsidR="000D5504" w:rsidRPr="00F50129" w:rsidRDefault="000D5504" w:rsidP="00DD19D4">
      <w:pPr>
        <w:pStyle w:val="NormalWeb"/>
        <w:spacing w:before="0" w:beforeAutospacing="0" w:after="0" w:afterAutospacing="0"/>
        <w:jc w:val="both"/>
        <w:textAlignment w:val="baseline"/>
        <w:rPr>
          <w:i/>
          <w:sz w:val="20"/>
          <w:szCs w:val="20"/>
        </w:rPr>
      </w:pPr>
    </w:p>
    <w:p w14:paraId="2A0EC3A1" w14:textId="77777777" w:rsidR="00D46BD2" w:rsidRPr="00F50129" w:rsidRDefault="00D46BD2" w:rsidP="00D46BD2">
      <w:pPr>
        <w:jc w:val="both"/>
        <w:outlineLvl w:val="0"/>
        <w:rPr>
          <w:b/>
          <w:sz w:val="20"/>
          <w:szCs w:val="20"/>
        </w:rPr>
      </w:pPr>
      <w:r w:rsidRPr="00F50129">
        <w:rPr>
          <w:b/>
          <w:sz w:val="20"/>
          <w:szCs w:val="20"/>
        </w:rPr>
        <w:t>INTRODUCTION</w:t>
      </w:r>
    </w:p>
    <w:p w14:paraId="1EF4746E" w14:textId="77777777" w:rsidR="00584269" w:rsidRDefault="00584269" w:rsidP="00D46BD2">
      <w:pPr>
        <w:ind w:firstLine="567"/>
        <w:jc w:val="both"/>
        <w:rPr>
          <w:sz w:val="20"/>
          <w:szCs w:val="20"/>
        </w:rPr>
      </w:pPr>
    </w:p>
    <w:p w14:paraId="24BC0C5B" w14:textId="47D225A9" w:rsidR="001E0CD2" w:rsidRDefault="001E0CD2" w:rsidP="00D46BD2">
      <w:pPr>
        <w:ind w:firstLine="567"/>
        <w:jc w:val="both"/>
        <w:rPr>
          <w:sz w:val="20"/>
          <w:szCs w:val="20"/>
        </w:rPr>
      </w:pPr>
      <w:r w:rsidRPr="001E0CD2">
        <w:rPr>
          <w:sz w:val="20"/>
          <w:szCs w:val="20"/>
        </w:rPr>
        <w:t>In Indonesia, smoking has become a habit. This habit is prevalent in both the lower and upper economic classes. For some people, smoking has become more than a habit; it has become a necessity and a way of life that must be followed on a daily basis</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author":[{"dropping-particle":"","family":"Meiyetriani","given":"Eflita","non-dropping-particle":"","parse-names":false,"suffix":""}],"editor":[{"dropping-particle":"","family":"Hasbullah","given":"Thabrany","non-dropping-particle":"","parse-names":false,"suffix":""}],"id":"ITEM-1","issued":{"date-parts":[["2012"]]},"publisher":"FKM UI","publisher-place":"Jakarta","title":"Perilaku Merokok, Tahapan Merokok &amp; Penyakit Akibat Perilaku Merokok: Suatu Tinjauan Teoritis","type":"book"},"uris":["http://www.mendeley.com/documents/?uuid=8cab1229-3940-4bfd-8798-09f87525823c"]}],"mendeley":{"formattedCitation":"(Meiyetriani, 2012)","plainTextFormattedCitation":"(Meiyetriani, 2012)","previouslyFormattedCitation":"(Meiyetriani, 2012)"},"properties":{"noteIndex":0},"schema":"https://github.com/citation-style-language/schema/raw/master/csl-citation.json"}</w:instrText>
      </w:r>
      <w:r w:rsidR="00DE5971">
        <w:rPr>
          <w:sz w:val="20"/>
          <w:szCs w:val="20"/>
        </w:rPr>
        <w:fldChar w:fldCharType="separate"/>
      </w:r>
      <w:r w:rsidR="00DE5971" w:rsidRPr="00DE5971">
        <w:rPr>
          <w:noProof/>
          <w:sz w:val="20"/>
          <w:szCs w:val="20"/>
        </w:rPr>
        <w:t>(Meiyetriani, 2012)</w:t>
      </w:r>
      <w:r w:rsidR="00DE5971">
        <w:rPr>
          <w:sz w:val="20"/>
          <w:szCs w:val="20"/>
        </w:rPr>
        <w:fldChar w:fldCharType="end"/>
      </w:r>
      <w:r w:rsidRPr="001E0CD2">
        <w:rPr>
          <w:sz w:val="20"/>
          <w:szCs w:val="20"/>
        </w:rPr>
        <w:t xml:space="preserve">. Smoking is a dangerous habit as being harmful not only to smokers but also to those who inhale cigarette smoke from smokers, known as passive smoking. Smoking is prevalent in the community, affecting everyone from children to teenagers to adults. </w:t>
      </w:r>
      <w:r w:rsidR="00AE1CD3" w:rsidRPr="00AE1CD3">
        <w:t xml:space="preserve"> </w:t>
      </w:r>
      <w:r w:rsidR="00AE1CD3" w:rsidRPr="00AE1CD3">
        <w:rPr>
          <w:sz w:val="20"/>
          <w:szCs w:val="20"/>
        </w:rPr>
        <w:t>For smokers, smoking can cause a variety of diseases such as high blood pressure and heart disorders caused by the influence of chemical substances contained in cigarettes such as nicotine and tar</w:t>
      </w:r>
      <w:r w:rsidR="00AE1CD3">
        <w:rPr>
          <w:sz w:val="20"/>
          <w:szCs w:val="20"/>
        </w:rPr>
        <w:t xml:space="preserve"> </w:t>
      </w:r>
      <w:r w:rsidR="00AE1CD3">
        <w:rPr>
          <w:sz w:val="20"/>
          <w:szCs w:val="20"/>
        </w:rPr>
        <w:fldChar w:fldCharType="begin" w:fldLock="1"/>
      </w:r>
      <w:r w:rsidR="005B4CF6">
        <w:rPr>
          <w:sz w:val="20"/>
          <w:szCs w:val="20"/>
        </w:rPr>
        <w:instrText>ADDIN CSL_CITATION {"citationItems":[{"id":"ITEM-1","itemData":{"abstract":"The World Health Organisation said that the number of smokers in the world as much as 30% are teenagers. Research in Jakarta showed that 64.8% of men over the age of 13 years were smokers (Tandra, 2003). Male smokers is much higher than the number of female smokers. Indonesian Cancer Foundation (ICF) found 27.1% of 1961 respondents male students of SMA / SMK, already started or even used to smoke (Sirait, 2001). The purpose of this study was to determine the smoking habits of teenagers, the influence of intrinsic and extrinsic factors on smoking behavior in teenagers. This type of research is observational analytic cross sectional study design. This research was conducted in SMK Muhammadiyah Kudus in January 2016. The population in this study were all students of SMK Muhammadiyah Kudus 2015/2016 academic year ( 1148 students), the number of samples obtained by 32 students with accidental sampling techniques Primary data were collected using a questionnaire. Data analysis using bivariate and multivariate analyzes. Bivariate analysis between the variables X1 to Y and X2 to Y using Fisher's exact test. The multivariate analysis using logistic regression test . There are a number of research results 21.8% of students (teenagers) are smoker .There are 57.1% of the total number of students (teenagers) smoke spent ≥ 1 pack of cigarettes for a day. There are 71.4% of the total number of students (teenagers) begin a smoker since age &lt;15 years.There is intrinsic factors effect on smoking behavior in teenagers . There is the influence of extrinsic factors on smoking behavior in teenagers. Taken together intrinsic factors likely 0062 compared with only 0:00 extrinsic factors in influencing students (teenagers) behaves smoking.","author":[{"dropping-particle":"","family":"Tristanti","given":"Ika","non-dropping-particle":"","parse-names":false,"suffix":""}],"container-title":"The 3rd University Research Colloquium","id":"ITEM-1","issued":{"date-parts":[["2016"]]},"page":"328-342","title":"Remaja dan Perilaku Merokok","type":"article-journal"},"uris":["http://www.mendeley.com/documents/?uuid=60b456ee-c04c-4b6d-a814-acc4356ec841"]}],"mendeley":{"formattedCitation":"(Tristanti, 2016)","plainTextFormattedCitation":"(Tristanti, 2016)","previouslyFormattedCitation":"(Tristanti, 2016)"},"properties":{"noteIndex":0},"schema":"https://github.com/citation-style-language/schema/raw/master/csl-citation.json"}</w:instrText>
      </w:r>
      <w:r w:rsidR="00AE1CD3">
        <w:rPr>
          <w:sz w:val="20"/>
          <w:szCs w:val="20"/>
        </w:rPr>
        <w:fldChar w:fldCharType="separate"/>
      </w:r>
      <w:r w:rsidR="00AE1CD3" w:rsidRPr="00AE1CD3">
        <w:rPr>
          <w:noProof/>
          <w:sz w:val="20"/>
          <w:szCs w:val="20"/>
        </w:rPr>
        <w:t>(Tristanti, 2016)</w:t>
      </w:r>
      <w:r w:rsidR="00AE1CD3">
        <w:rPr>
          <w:sz w:val="20"/>
          <w:szCs w:val="20"/>
        </w:rPr>
        <w:fldChar w:fldCharType="end"/>
      </w:r>
      <w:r w:rsidR="00AE1CD3">
        <w:rPr>
          <w:sz w:val="20"/>
          <w:szCs w:val="20"/>
        </w:rPr>
        <w:t>.</w:t>
      </w:r>
      <w:r w:rsidRPr="001E0CD2">
        <w:rPr>
          <w:sz w:val="20"/>
          <w:szCs w:val="20"/>
        </w:rPr>
        <w:t xml:space="preserve"> According to a WHO report, there are 1.2 billion smokers in the world, with 800 million of them living in developing nations. In low-income countries, the prevalence of smokers is higher</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{"citationItems":[{"id":"ITEM-1","itemData":{"author":[{"dropping-particle":"","family":"Kemenkes RI","given":"","non-dropping-particle":"","parse-names":false,"suffix":""}],"container-title":"INFODATIN","id":"ITEM-1","issued":{"date-parts":[["2015"]]},"publisher":"Pusat Data dan Informasi Kementerian Kesehatan RI","publisher-place":"Jakarta","title":"Perilaku merokok masyarakat Indonesia","type":"article-journal"},"uris":["http://www.mendeley.com/documents/?uuid=847f2b25-451e-41c2-abf8-c72a6082c989"]}],"mendeley":{"formattedCitation":"(Kemenkes RI, 2015)","plainTextFormattedCitation":"(Kemenkes RI, 2015)","previouslyFormattedCitation":"(Kemenkes RI, 2015)"},"properties":{"noteIndex":0},"schema":"https://github.com/citation-style-language/schema/raw/master/csl-citation.json"}</w:instrText>
      </w:r>
      <w:r w:rsidR="00DE5971">
        <w:rPr>
          <w:sz w:val="20"/>
          <w:szCs w:val="20"/>
        </w:rPr>
        <w:fldChar w:fldCharType="separate"/>
      </w:r>
      <w:r w:rsidR="00DE5971" w:rsidRPr="00DE5971">
        <w:rPr>
          <w:noProof/>
          <w:sz w:val="20"/>
          <w:szCs w:val="20"/>
        </w:rPr>
        <w:t>(Kemenkes RI, 2015)</w:t>
      </w:r>
      <w:r w:rsidR="00DE5971">
        <w:rPr>
          <w:sz w:val="20"/>
          <w:szCs w:val="20"/>
        </w:rPr>
        <w:fldChar w:fldCharType="end"/>
      </w:r>
      <w:r w:rsidRPr="001E0CD2">
        <w:rPr>
          <w:sz w:val="20"/>
          <w:szCs w:val="20"/>
        </w:rPr>
        <w:t>.</w:t>
      </w:r>
    </w:p>
    <w:p w14:paraId="00679BDF" w14:textId="5F76C169" w:rsidR="001E0CD2" w:rsidRDefault="001E0CD2" w:rsidP="00D46BD2">
      <w:pPr>
        <w:ind w:firstLine="567"/>
        <w:jc w:val="both"/>
        <w:rPr>
          <w:sz w:val="20"/>
          <w:szCs w:val="20"/>
        </w:rPr>
      </w:pPr>
      <w:r w:rsidRPr="001E0CD2">
        <w:rPr>
          <w:sz w:val="20"/>
          <w:szCs w:val="20"/>
        </w:rPr>
        <w:t xml:space="preserve">According to </w:t>
      </w:r>
      <w:proofErr w:type="spellStart"/>
      <w:r w:rsidRPr="001E0CD2">
        <w:rPr>
          <w:sz w:val="20"/>
          <w:szCs w:val="20"/>
        </w:rPr>
        <w:t>Riskesdas</w:t>
      </w:r>
      <w:proofErr w:type="spellEnd"/>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{"citationItems":[{"id":"ITEM-1","itemData":{"author":[{"dropping-particle":"","family":"Departemen Kesehatan Republik Indonesia","given":"","non-dropping-particle":"","parse-names":false,"suffix":""}],"id":"ITEM-1","issued":{"date-parts":[["2013"]]},"publisher":"Badan Penelitian dan Pengembangan Kesehatan RI","publisher-place":"Jakarta","title":"Riset Kesehatan Dasar (RISKESDAS)","type":"report"},"uris":["http://www.mendeley.com/documents/?uuid=294c1cc0-b6c0-430a-bea4-714c18c76c62"]}],"mendeley":{"formattedCitation":"(Departemen Kesehatan Republik Indonesia, 2013)","manualFormatting":"(2013)","plainTextFormattedCitation":"(Departemen Kesehatan Republik Indonesia, 2013)","previouslyFormattedCitation":"(Departemen Kesehatan Republik Indonesia, 2013)"},"properties":{"noteIndex":0},"schema":"https://github.com/citation-style-language/schema/raw/master/csl-citation.json"}</w:instrText>
      </w:r>
      <w:r w:rsidR="00DE5971">
        <w:rPr>
          <w:sz w:val="20"/>
          <w:szCs w:val="20"/>
        </w:rPr>
        <w:fldChar w:fldCharType="separate"/>
      </w:r>
      <w:r w:rsidR="00DE5971" w:rsidRPr="00DE5971">
        <w:rPr>
          <w:noProof/>
          <w:sz w:val="20"/>
          <w:szCs w:val="20"/>
        </w:rPr>
        <w:t>(2013)</w:t>
      </w:r>
      <w:r w:rsidR="00DE5971">
        <w:rPr>
          <w:sz w:val="20"/>
          <w:szCs w:val="20"/>
        </w:rPr>
        <w:fldChar w:fldCharType="end"/>
      </w:r>
      <w:r w:rsidRPr="001E0CD2">
        <w:rPr>
          <w:sz w:val="20"/>
          <w:szCs w:val="20"/>
        </w:rPr>
        <w:t>, the smoking behavior of the Indonesian population aged 15 and over has increased from 27 % in 1995 to 34.2 % in 2007 and finally to 36.3 % in 2013 with a prevalence of 64.9% men and 2.1 percent women. In Indonesia, the average number of</w:t>
      </w:r>
      <w:r>
        <w:rPr>
          <w:sz w:val="20"/>
          <w:szCs w:val="20"/>
        </w:rPr>
        <w:t xml:space="preserve"> </w:t>
      </w:r>
      <w:r w:rsidRPr="001E0CD2">
        <w:rPr>
          <w:sz w:val="20"/>
          <w:szCs w:val="20"/>
        </w:rPr>
        <w:t>cigarettes smoked per day by people aged ≥10 is 12.3 cigarettes (one pack).</w:t>
      </w:r>
    </w:p>
    <w:p w14:paraId="11DDD992" w14:textId="40DF8BCD" w:rsidR="001E0CD2" w:rsidRDefault="001E0CD2" w:rsidP="00D46BD2">
      <w:pPr>
        <w:ind w:firstLine="567"/>
        <w:jc w:val="both"/>
        <w:rPr>
          <w:sz w:val="20"/>
          <w:szCs w:val="20"/>
        </w:rPr>
      </w:pPr>
      <w:r w:rsidRPr="001E0CD2">
        <w:rPr>
          <w:sz w:val="20"/>
          <w:szCs w:val="20"/>
        </w:rPr>
        <w:t xml:space="preserve">Cigarettes have a new variety, due to the growth number of tobacco smokers and the development of the era, as well as the advancement of technology. Not only because of the taste and shape, but also because of the way it is burned, and is now known as vape. Vaping is gaining popularity as an alternative to smoking. Unlike traditional cigarettes, vape is a type of an e-cigarette with batteryoperated device that allows the user to breathe in nicotine through a </w:t>
      </w:r>
      <w:proofErr w:type="spellStart"/>
      <w:r w:rsidRPr="001E0CD2">
        <w:rPr>
          <w:sz w:val="20"/>
          <w:szCs w:val="20"/>
        </w:rPr>
        <w:t>vapour</w:t>
      </w:r>
      <w:proofErr w:type="spellEnd"/>
      <w:r w:rsidRPr="001E0CD2">
        <w:rPr>
          <w:sz w:val="20"/>
          <w:szCs w:val="20"/>
        </w:rPr>
        <w:t>. They are sometimes referred to as Electronic Nicotine Delivery Systems (ENDS)</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{"citationItems":[{"id":"ITEM-1","itemData":{"DOI":"10.1183/20734735.ELF161","ISSN":"1810-6838","author":[{"dropping-particle":"","family":"European Lung Foundation","given":"","non-dropping-particle":"","parse-names":false,"suffix":""}],"id":"ITEM-1","issue":"1","issued":{"date-parts":[["2020","3","11"]]},"page":"161ELF","title":"E-cigarettes, heat-not-burn and smokeless tobacco products","type":"article-journal","volume":"16"},"uris":["http://www.mendeley.com/documents/?uuid=01733915-ad2e-43a7-b4a4-1918f4c8d542"]}],"mendeley":{"formattedCitation":"(European Lung Foundation, 2020)","plainTextFormattedCitation":"(European Lung Foundation, 2020)","previouslyFormattedCitation":"(European Lung Foundation, 2020)"},"properties":{"noteIndex":0},"schema":"https://github.com/citation-style-language/schema/raw/master/csl-citation.json"}</w:instrText>
      </w:r>
      <w:r w:rsidR="00DE5971">
        <w:rPr>
          <w:sz w:val="20"/>
          <w:szCs w:val="20"/>
        </w:rPr>
        <w:fldChar w:fldCharType="separate"/>
      </w:r>
      <w:r w:rsidR="00DE5971" w:rsidRPr="00DE5971">
        <w:rPr>
          <w:noProof/>
          <w:sz w:val="20"/>
          <w:szCs w:val="20"/>
        </w:rPr>
        <w:t>(European Lung Foundation, 2020)</w:t>
      </w:r>
      <w:r w:rsidR="00DE5971">
        <w:rPr>
          <w:sz w:val="20"/>
          <w:szCs w:val="20"/>
        </w:rPr>
        <w:fldChar w:fldCharType="end"/>
      </w:r>
      <w:r w:rsidRPr="001E0CD2">
        <w:rPr>
          <w:sz w:val="20"/>
          <w:szCs w:val="20"/>
        </w:rPr>
        <w:t>.</w:t>
      </w:r>
    </w:p>
    <w:p w14:paraId="43A62169" w14:textId="54DFCD2F" w:rsidR="00480CF2" w:rsidRDefault="001E0CD2" w:rsidP="00D46BD2">
      <w:pPr>
        <w:ind w:firstLine="567"/>
        <w:jc w:val="both"/>
        <w:rPr>
          <w:sz w:val="20"/>
          <w:szCs w:val="20"/>
        </w:rPr>
      </w:pPr>
      <w:r>
        <w:rPr>
          <w:sz w:val="20"/>
          <w:szCs w:val="20"/>
        </w:rPr>
        <w:t xml:space="preserve"> </w:t>
      </w:r>
      <w:r w:rsidR="00C00B8A" w:rsidRPr="00C00B8A">
        <w:rPr>
          <w:sz w:val="20"/>
          <w:szCs w:val="20"/>
        </w:rPr>
        <w:t xml:space="preserve">The first concept of an e-cigarette was patented in 1965 by Herbert A Gilbert. Later, the aerosol high-frequency e-cigarette was patented in China by Mr. Hon </w:t>
      </w:r>
      <w:proofErr w:type="spellStart"/>
      <w:r w:rsidR="00C00B8A" w:rsidRPr="00C00B8A">
        <w:rPr>
          <w:sz w:val="20"/>
          <w:szCs w:val="20"/>
        </w:rPr>
        <w:t>Lik</w:t>
      </w:r>
      <w:proofErr w:type="spellEnd"/>
      <w:r w:rsidR="00C00B8A" w:rsidRPr="00C00B8A">
        <w:rPr>
          <w:sz w:val="20"/>
          <w:szCs w:val="20"/>
        </w:rPr>
        <w:t xml:space="preserve"> and </w:t>
      </w:r>
      <w:proofErr w:type="spellStart"/>
      <w:r w:rsidR="00C00B8A" w:rsidRPr="00C00B8A">
        <w:rPr>
          <w:sz w:val="20"/>
          <w:szCs w:val="20"/>
        </w:rPr>
        <w:t>Ruyan</w:t>
      </w:r>
      <w:proofErr w:type="spellEnd"/>
      <w:r w:rsidR="00C00B8A" w:rsidRPr="00C00B8A">
        <w:rPr>
          <w:sz w:val="20"/>
          <w:szCs w:val="20"/>
        </w:rPr>
        <w:t xml:space="preserve"> Technology; it entered the market in 2003 and was patented internationally in 2007 </w:t>
      </w:r>
      <w:r w:rsidR="00C00B8A">
        <w:rPr>
          <w:sz w:val="20"/>
          <w:szCs w:val="20"/>
        </w:rPr>
        <w:fldChar w:fldCharType="begin" w:fldLock="1"/>
      </w:r>
      <w:r w:rsidR="003E59B7">
        <w:rPr>
          <w:sz w:val="20"/>
          <w:szCs w:val="20"/>
        </w:rPr>
        <w:instrText>ADDIN CSL_CITATION {"citationItems":[{"id":"ITEM-1","itemData":{"DOI":"10.1161/CIR.0000000000000107","ISBN":"0000000000000","ISSN":"15244539","PMID":"25156991","author":[{"dropping-particle":"","family":"Bhatnagar","given":"Aruni","non-dropping-particle":"","parse-names":false,"suffix":""},{"dropping-particle":"","family":"Whitsel","given":"Laurie P.","non-dropping-particle":"","parse-names":false,"suffix":""},{"dropping-particle":"","family":"Ribisl","given":"Kurt M.","non-dropping-particle":"","parse-names":false,"suffix":""},{"dropping-particle":"","family":"Bullen","given":"Chris","non-dropping-particle":"","parse-names":false,"suffix":""},{"dropping-particle":"","family":"Chaloupka","given":"Frank","non-dropping-particle":"","parse-names":false,"suffix":""},{"dropping-particle":"","family":"Piano","given":"Mariann R.","non-dropping-particle":"","parse-names":false,"suffix":""},{"dropping-particle":"","family":"Robertson","given":"Rose Marie","non-dropping-particle":"","parse-names":false,"suffix":""},{"dropping-particle":"","family":"McAuley","given":"Timothy","non-dropping-particle":"","parse-names":false,"suffix":""},{"dropping-particle":"","family":"Goff","given":"David","non-dropping-particle":"","parse-names":false,"suffix":""},{"dropping-particle":"","family":"Benowitz","given":"Neal","non-dropping-particle":"","parse-names":false,"suffix":""}],"container-title":"Circulation","id":"ITEM-1","issue":"16","issued":{"date-parts":[["2014"]]},"page":"1418-1436","title":"Electronic cigarettes: A policy statement from the American Heart Association","type":"article-journal","volume":"130"},"uris":["http://www.mendeley.com/documents/?uuid=df72276c-d0b2-41e1-a066-552ef932fd6a"]}],"mendeley":{"formattedCitation":"(Bhatnagar &lt;i&gt;et al.&lt;/i&gt;, 2014)","plainTextFormattedCitation":"(Bhatnagar et al., 2014)","previouslyFormattedCitation":"(Bhatnagar &lt;i&gt;et al.&lt;/i&gt;, 2014)"},"properties":{"noteIndex":0},"schema":"https://github.com/citation-style-language/schema/raw/master/csl-citation.json"}</w:instrText>
      </w:r>
      <w:r w:rsidR="00C00B8A">
        <w:rPr>
          <w:sz w:val="20"/>
          <w:szCs w:val="20"/>
        </w:rPr>
        <w:fldChar w:fldCharType="separate"/>
      </w:r>
      <w:r w:rsidR="00C00B8A" w:rsidRPr="00C00B8A">
        <w:rPr>
          <w:noProof/>
          <w:sz w:val="20"/>
          <w:szCs w:val="20"/>
        </w:rPr>
        <w:t xml:space="preserve">(Bhatnagar </w:t>
      </w:r>
      <w:r w:rsidR="00C00B8A" w:rsidRPr="00C00B8A">
        <w:rPr>
          <w:i/>
          <w:noProof/>
          <w:sz w:val="20"/>
          <w:szCs w:val="20"/>
        </w:rPr>
        <w:t>et al.</w:t>
      </w:r>
      <w:r w:rsidR="00C00B8A" w:rsidRPr="00C00B8A">
        <w:rPr>
          <w:noProof/>
          <w:sz w:val="20"/>
          <w:szCs w:val="20"/>
        </w:rPr>
        <w:t>, 2014)</w:t>
      </w:r>
      <w:r w:rsidR="00C00B8A">
        <w:rPr>
          <w:sz w:val="20"/>
          <w:szCs w:val="20"/>
        </w:rPr>
        <w:fldChar w:fldCharType="end"/>
      </w:r>
      <w:r w:rsidR="00C00B8A">
        <w:rPr>
          <w:sz w:val="20"/>
          <w:szCs w:val="20"/>
        </w:rPr>
        <w:t xml:space="preserve">. </w:t>
      </w:r>
      <w:r w:rsidR="00480CF2" w:rsidRPr="00480CF2">
        <w:rPr>
          <w:sz w:val="20"/>
          <w:szCs w:val="20"/>
        </w:rPr>
        <w:t>An e</w:t>
      </w:r>
      <w:r w:rsidR="00480CF2">
        <w:rPr>
          <w:sz w:val="20"/>
          <w:szCs w:val="20"/>
        </w:rPr>
        <w:t>-</w:t>
      </w:r>
      <w:r w:rsidR="00480CF2" w:rsidRPr="00480CF2">
        <w:rPr>
          <w:sz w:val="20"/>
          <w:szCs w:val="20"/>
        </w:rPr>
        <w:t>cigarette is made up of three major components: a battery, a metal heater (atomizer), and a cartridge containing a liquid chemical substance</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author":[{"dropping-particle":"","family":"BPOM","given":"","non-dropping-particle":"","parse-names":false,"suffix":""}],"container-title":"InfoPOM","id":"ITEM-1","issue":"5","issued":{"date-parts":[["2015"]]},"page":"1-12","title":"Bahaya rokok elektronik","type":"article-journal","volume":"16"},"uris":["http://www.mendeley.com/documents/?uuid=e632437f-0316-49dd-b89a-2901b1fc8c7c"]}],"mendeley":{"formattedCitation":"(BPOM, 2015)","plainTextFormattedCitation":"(BPOM, 2015)","previouslyFormattedCitation":"(BPOM, 2015)"},"properties":{"noteIndex":0},"schema":"https://github.com/citation-style-language/schema/raw/master/csl-citation.json"}</w:instrText>
      </w:r>
      <w:r w:rsidR="00DE5971">
        <w:rPr>
          <w:sz w:val="20"/>
          <w:szCs w:val="20"/>
        </w:rPr>
        <w:fldChar w:fldCharType="separate"/>
      </w:r>
      <w:r w:rsidR="00DE5971" w:rsidRPr="00DE5971">
        <w:rPr>
          <w:noProof/>
          <w:sz w:val="20"/>
          <w:szCs w:val="20"/>
        </w:rPr>
        <w:t>(BPOM, 2015)</w:t>
      </w:r>
      <w:r w:rsidR="00DE5971">
        <w:rPr>
          <w:sz w:val="20"/>
          <w:szCs w:val="20"/>
        </w:rPr>
        <w:fldChar w:fldCharType="end"/>
      </w:r>
      <w:r w:rsidR="00480CF2" w:rsidRPr="00480CF2">
        <w:rPr>
          <w:sz w:val="20"/>
          <w:szCs w:val="20"/>
        </w:rPr>
        <w:t>.</w:t>
      </w:r>
    </w:p>
    <w:p w14:paraId="7BF7CEFF" w14:textId="76A5A5D1" w:rsidR="00480CF2" w:rsidRDefault="003E59B7" w:rsidP="00D46BD2">
      <w:pPr>
        <w:ind w:firstLine="567"/>
        <w:jc w:val="both"/>
        <w:rPr>
          <w:sz w:val="20"/>
          <w:szCs w:val="20"/>
        </w:rPr>
      </w:pPr>
      <w:r w:rsidRPr="003E59B7">
        <w:rPr>
          <w:sz w:val="20"/>
          <w:szCs w:val="20"/>
        </w:rPr>
        <w:t>The use of e</w:t>
      </w:r>
      <w:r>
        <w:rPr>
          <w:sz w:val="20"/>
          <w:szCs w:val="20"/>
        </w:rPr>
        <w:t>-</w:t>
      </w:r>
      <w:r w:rsidRPr="003E59B7">
        <w:rPr>
          <w:sz w:val="20"/>
          <w:szCs w:val="20"/>
        </w:rPr>
        <w:t>cigarettes has been promoted as a useful smoking cessation tool and an alternative nicotine delivery device that contains no combustion byproducts</w:t>
      </w:r>
      <w:r>
        <w:rPr>
          <w:sz w:val="20"/>
          <w:szCs w:val="20"/>
        </w:rPr>
        <w:t xml:space="preserve"> </w:t>
      </w:r>
      <w:r>
        <w:rPr>
          <w:sz w:val="20"/>
          <w:szCs w:val="20"/>
        </w:rPr>
        <w:fldChar w:fldCharType="begin" w:fldLock="1"/>
      </w:r>
      <w:r>
        <w:rPr>
          <w:sz w:val="20"/>
          <w:szCs w:val="20"/>
        </w:rPr>
        <w:instrText>ADDIN CSL_CITATION {"citationItems":[{"id":"ITEM-1","itemData":{"DOI":"10.1515/reveh-2019-0012","ISSN":"2191-0308","PMID":"31112510","abstract":"The use of electronic cigarettes (e-cigarettes or “vaping”) has seen an unprecedented increase worldwide. Vaping has been promoted as a beneficial smoking cessation tool and an alternative nicotine delivery device that contains no combustion by-products. However, nicotine is highly addictive, and the increased use of nicotine-containing e-cigarettes among teens and individuals who are not in need of smoking cessation may lead to overall greater nicotine dependence in the population. Furthermore, available research indicates that vaping solutions and their emissions may contain much more than just nicotine, including aerosolized flavorings, propylene glycol (PG), and other intentional and unintentional contaminants. These materials could present undefined potential health hazards to both e-cigarette users and bystanders, the full extent of which is not well understood at this time. Whereas e-cigarette usage and exposures may lower some or most of the risks associated with conventional cigarette use, the health effects of nicotine and aerosol exposures from e-cigarettes are not well understood. Research indicates that vaping aerosols are not benign, especially for nearby people in areas with limited ventilation and people with compromised health conditions. In addition, e-juice liquids have already been responsible for an increase in accidental poisonings in children. Because the magnitude of health and safety hazards that vaping may present to nonusers remains unclear, it is prudent to manage and control vaping in indoor locations where smoking is currently restricted. Based on a review of current scientific information, the American Industrial Hygiene Association (AIHA) recommends that e-cigarettes should be considered a source of aerosols, volatile organic compounds (VOCs), and particulates in the indoor environment that have not been thoroughly characterized or evaluated for health risk or safety.","author":[{"dropping-particle":"","family":"Marcham","given":"Cheryl L.","non-dropping-particle":"","parse-names":false,"suffix":""},{"dropping-particle":"","family":"Springston","given":"John P.","non-dropping-particle":"","parse-names":false,"suffix":""}],"container-title":"Reviews on Environmental Health","id":"ITEM-1","issue":"2","issued":{"date-parts":[["2019","6","26"]]},"page":"105-124","title":"Electronic cigarettes in the indoor environment","type":"article-journal","volume":"34"},"uris":["http://www.mendeley.com/documents/?uuid=cb3482e9-c885-46ec-867f-38fd56aa7bf1"]}],"mendeley":{"formattedCitation":"(Marcham and Springston, 2019)","plainTextFormattedCitation":"(Marcham and Springston, 2019)"},"properties":{"noteIndex":0},"schema":"https://github.com/citation-style-language/schema/raw/master/csl-citation.json"}</w:instrText>
      </w:r>
      <w:r>
        <w:rPr>
          <w:sz w:val="20"/>
          <w:szCs w:val="20"/>
        </w:rPr>
        <w:fldChar w:fldCharType="separate"/>
      </w:r>
      <w:r w:rsidRPr="003E59B7">
        <w:rPr>
          <w:noProof/>
          <w:sz w:val="20"/>
          <w:szCs w:val="20"/>
        </w:rPr>
        <w:t>(Marcham and Springston, 2019)</w:t>
      </w:r>
      <w:r>
        <w:rPr>
          <w:sz w:val="20"/>
          <w:szCs w:val="20"/>
        </w:rPr>
        <w:fldChar w:fldCharType="end"/>
      </w:r>
      <w:r>
        <w:rPr>
          <w:sz w:val="20"/>
          <w:szCs w:val="20"/>
        </w:rPr>
        <w:t>.</w:t>
      </w:r>
      <w:r w:rsidRPr="003E59B7">
        <w:rPr>
          <w:sz w:val="20"/>
          <w:szCs w:val="20"/>
        </w:rPr>
        <w:t xml:space="preserve"> </w:t>
      </w:r>
      <w:r w:rsidR="00480CF2" w:rsidRPr="00480CF2">
        <w:rPr>
          <w:sz w:val="20"/>
          <w:szCs w:val="20"/>
        </w:rPr>
        <w:t>The nicotine solution contained in vape was assumed to be safe for health because it only contained water, propylene glycol, taste enhancers, tobacco fragrance, and other compounds that did not contain tar or other hazardous substances normally found in tobacco cigarettes</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{"citationItems":[{"id":"ITEM-1","itemData":{"DOI":"10.1093/ntr/ntq114","ISSN":"1469-994X","PMID":"20644205","abstract":"Electronic cigarettes or e-cigarettes are marketed as tobacco-free nicotine delivery devices that have received little laboratory evaluation. In this study, the smoking properties of conventional and e-cigarettes were compared by examining the vacuum required to produce smoke (conventional cigarettes) or aerosol (e-cigarettes) and the density of the smoke/aerosol over time. Vacuum was measured using a manometer coupled to a smoking machine. The density of aerosol or smoke was measured spectrophotometrically. E-cigarettes were subjected to smoke-out experiments in which vacuum and aerosol density were measured until each cartridge was exhausted. The vacuum required to smoke conventional cigarettes varied among the eight brands tested. Lights and ultra-light brands required stronger vacuums to smoke than unfiltered and regular filtered brands. Except for one brand, higher vacuums were required to smoke e-cigarettes than conventional brands. Smoke/aerosol density was stable for conventional brands and for e-cigarettes over the first 10 puffs; however, aerosol density of e-cigarettes dropped during subsequent smoking, and higher vacuums were required to produce aerosol as the puff number increased. While conventional cigarettes were uniform in their smoking behavior within brands, vacuum and density varied within brands of e-cigarettes. Generally, e-cigarettes required stronger vacuums (suction) to smoke than conventional brands, and the effects of this on human health could be adverse. The amount of aerosol produced by e-cigarettes decreased during smoking, which necessitated increasing puff strength to produce aerosol. The decreased efficiency of aerosol production during e-cigarette smoking makes dosing nonuniform over time and calls into question their usefulness as nicotine delivery devices.","author":[{"dropping-particle":"","family":"Trtchounian","given":"Anna","non-dropping-particle":"","parse-names":false,"suffix":""},{"dropping-particle":"","family":"Williams","given":"Monique","non-dropping-particle":"","parse-names":false,"suffix":""},{"dropping-particle":"","family":"Talbot","given":"Prue","non-dropping-particle":"","parse-names":false,"suffix":""}],"container-title":"Nicotine &amp; Tobacco Research","id":"ITEM-1","issue":"9","issued":{"date-parts":[["2010","9"]]},"page":"905-912","title":"Conventional and electronic cigarettes (e-cigarettes) have different smoking characteristics","type":"article-journal","volume":"12"},"uris":["http://www.mendeley.com/documents/?uuid=c36cc91d-c7e6-4d5f-a96c-31285daf35e4"]}],"mendeley":{"formattedCitation":"(Trtchounian, Williams and Talbot, 2010)","plainTextFormattedCitation":"(Trtchounian, Williams and Talbot, 2010)","previouslyFormattedCitation":"(Trtchounian, Williams and Talbot, 2010)"},"properties":{"noteIndex":0},"schema":"https://github.com/citation-style-language/schema/raw/master/csl-citation.json"}</w:instrText>
      </w:r>
      <w:r w:rsidR="00DE5971">
        <w:rPr>
          <w:sz w:val="20"/>
          <w:szCs w:val="20"/>
        </w:rPr>
        <w:fldChar w:fldCharType="separate"/>
      </w:r>
      <w:r w:rsidR="00DE5971" w:rsidRPr="00DE5971">
        <w:rPr>
          <w:noProof/>
          <w:sz w:val="20"/>
          <w:szCs w:val="20"/>
        </w:rPr>
        <w:t>(Trtchounian, Williams and Talbot, 2010)</w:t>
      </w:r>
      <w:r w:rsidR="00DE5971">
        <w:rPr>
          <w:sz w:val="20"/>
          <w:szCs w:val="20"/>
        </w:rPr>
        <w:fldChar w:fldCharType="end"/>
      </w:r>
      <w:r w:rsidR="00480CF2" w:rsidRPr="00480CF2">
        <w:rPr>
          <w:sz w:val="20"/>
          <w:szCs w:val="20"/>
        </w:rPr>
        <w:t>.</w:t>
      </w:r>
    </w:p>
    <w:p w14:paraId="394BC08A" w14:textId="2777A1DC" w:rsidR="00480CF2" w:rsidRDefault="00480CF2" w:rsidP="00D46BD2">
      <w:pPr>
        <w:ind w:firstLine="567"/>
        <w:jc w:val="both"/>
        <w:rPr>
          <w:sz w:val="20"/>
          <w:szCs w:val="20"/>
        </w:rPr>
      </w:pPr>
      <w:r w:rsidRPr="00480CF2">
        <w:rPr>
          <w:sz w:val="20"/>
          <w:szCs w:val="20"/>
        </w:rPr>
        <w:t>However, the U.S. Food and Drug Administration (FDA) has begun to prohibit the use of e-cigarettes because it is known that e-cigarettes consist of hazardous tobacco specific nitrosamines (TSNA) and diethylene glycol (DEG)</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{"citationItems":[{"id":"ITEM-1","itemData":{"DOI":"10.3389/fpubh.2013.00056","ISSN":"2296-2565","author":[{"dropping-particle":"","family":"Palazzolo","given":"Dominic L.","non-dropping-particle":"","parse-names":false,"suffix":""}],"container-title":"Frontiers in Public Health","id":"ITEM-1","issued":{"date-parts":[["2013"]]},"title":"Electronic Cigarettes and Vaping: A New Challenge in Clinical Medicine and Public Health. A Literature Review","type":"article-journal","volume":"1"},"uris":["http://www.mendeley.com/documents/?uuid=ab95144b-7df5-4ac9-ba54-588d84aab072"]}],"mendeley":{"formattedCitation":"(Palazzolo, 2013)","plainTextFormattedCitation":"(Palazzolo, 2013)","previouslyFormattedCitation":"(Palazzolo, 2013)"},"properties":{"noteIndex":0},"schema":"https://github.com/citation-style-language/schema/raw/master/csl-citation.json"}</w:instrText>
      </w:r>
      <w:r w:rsidR="00DE5971">
        <w:rPr>
          <w:sz w:val="20"/>
          <w:szCs w:val="20"/>
        </w:rPr>
        <w:fldChar w:fldCharType="separate"/>
      </w:r>
      <w:r w:rsidR="00DE5971" w:rsidRPr="00DE5971">
        <w:rPr>
          <w:noProof/>
          <w:sz w:val="20"/>
          <w:szCs w:val="20"/>
        </w:rPr>
        <w:t>(Palazzolo, 2013)</w:t>
      </w:r>
      <w:r w:rsidR="00DE5971">
        <w:rPr>
          <w:sz w:val="20"/>
          <w:szCs w:val="20"/>
        </w:rPr>
        <w:fldChar w:fldCharType="end"/>
      </w:r>
      <w:r w:rsidRPr="00480CF2">
        <w:rPr>
          <w:sz w:val="20"/>
          <w:szCs w:val="20"/>
        </w:rPr>
        <w:t xml:space="preserve">, which are known carcinogens in tobacco and tobacco smoke </w:t>
      </w:r>
      <w:r w:rsidR="00DE5971">
        <w:rPr>
          <w:sz w:val="20"/>
          <w:szCs w:val="20"/>
        </w:rPr>
        <w:fldChar w:fldCharType="begin" w:fldLock="1"/>
      </w:r>
      <w:r w:rsidR="00DE5971">
        <w:rPr>
          <w:sz w:val="20"/>
          <w:szCs w:val="20"/>
        </w:rPr>
        <w:instrText>ADDIN CSL_CITATION {"citationItems":[{"id":"ITEM-1","itemData":{"DOI":"10.1093/ntr/ntq114","ISSN":"1469-994X","PMID":"20644205","abstract":"Electronic cigarettes or e-cigarettes are marketed as tobacco-free nicotine delivery devices that have received little laboratory evaluation. In this study, the smoking properties of conventional and e-cigarettes were compared by examining the vacuum required to produce smoke (conventional cigarettes) or aerosol (e-cigarettes) and the density of the smoke/aerosol over time. Vacuum was measured using a manometer coupled to a smoking machine. The density of aerosol or smoke was measured spectrophotometrically. E-cigarettes were subjected to smoke-out experiments in which vacuum and aerosol density were measured until each cartridge was exhausted. The vacuum required to smoke conventional cigarettes varied among the eight brands tested. Lights and ultra-light brands required stronger vacuums to smoke than unfiltered and regular filtered brands. Except for one brand, higher vacuums were required to smoke e-cigarettes than conventional brands. Smoke/aerosol density was stable for conventional brands and for e-cigarettes over the first 10 puffs; however, aerosol density of e-cigarettes dropped during subsequent smoking, and higher vacuums were required to produce aerosol as the puff number increased. While conventional cigarettes were uniform in their smoking behavior within brands, vacuum and density varied within brands of e-cigarettes. Generally, e-cigarettes required stronger vacuums (suction) to smoke than conventional brands, and the effects of this on human health could be adverse. The amount of aerosol produced by e-cigarettes decreased during smoking, which necessitated increasing puff strength to produce aerosol. The decreased efficiency of aerosol production during e-cigarette smoking makes dosing nonuniform over time and calls into question their usefulness as nicotine delivery devices.","author":[{"dropping-particle":"","family":"Trtchounian","given":"Anna","non-dropping-particle":"","parse-names":false,"suffix":""},{"dropping-particle":"","family":"Williams","given":"Monique","non-dropping-particle":"","parse-names":false,"suffix":""},{"dropping-particle":"","family":"Talbot","given":"Prue","non-dropping-particle":"","parse-names":false,"suffix":""}],"container-title":"Nicotine &amp; Tobacco Research","id":"ITEM-1","issue":"9","issued":{"date-parts":[["2010","9"]]},"page":"905-912","title":"Conventional and electronic cigarettes (e-cigarettes) have different smoking characteristics","type":"article-journal","volume":"12"},"uris":["http://www.mendeley.com/documents/?uuid=c36cc91d-c7e6-4d5f-a96c-31285daf35e4"]}],"mendeley":{"formattedCitation":"(Trtchounian, Williams and Talbot, 2010)","plainTextFormattedCitation":"(Trtchounian, Williams and Talbot, 2010)","previouslyFormattedCitation":"(Trtchounian, Williams and Talbot, 2010)"},"properties":{"noteIndex":0},"schema":"https://github.com/citation-style-language/schema/raw/master/csl-citation.json"}</w:instrText>
      </w:r>
      <w:r w:rsidR="00DE5971">
        <w:rPr>
          <w:sz w:val="20"/>
          <w:szCs w:val="20"/>
        </w:rPr>
        <w:fldChar w:fldCharType="separate"/>
      </w:r>
      <w:r w:rsidR="00DE5971" w:rsidRPr="00DE5971">
        <w:rPr>
          <w:noProof/>
          <w:sz w:val="20"/>
          <w:szCs w:val="20"/>
        </w:rPr>
        <w:t>(Trtchounian, Williams and Talbot, 2010)</w:t>
      </w:r>
      <w:r w:rsidR="00DE5971">
        <w:rPr>
          <w:sz w:val="20"/>
          <w:szCs w:val="20"/>
        </w:rPr>
        <w:fldChar w:fldCharType="end"/>
      </w:r>
      <w:r w:rsidRPr="00480CF2">
        <w:rPr>
          <w:sz w:val="20"/>
          <w:szCs w:val="20"/>
        </w:rPr>
        <w:t>. E-cigarette smoke induces edema and reduces the activity of alveolar macrophages in the lungs, according to studies. These cells are involved in attaching dust, bacteria, and allergy triggers</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{"citationItems":[{"id":"ITEM-1","itemData":{"DOI":"10.1136/thoraxjnl-2018-211663","ISSN":"0040-6376","PMID":"30104262","abstract":"Objective Vaping may increase the cytotoxic effects of e-cigarette liquid (ECL). We compared the effect of unvaped ECL to e-cigarette vapour condensate (ECVC) on alveolar macrophage (AM) function. Methods AMs were treated with ECVC and nicotine-free ECVC (nfECVC). AM viability, apoptosis, necrosis, cytokine, chemokine and protease release, reactive oxygen species (ROS) release and bacterial phagocytosis were assessed. Results Macrophage culture with ECL or ECVC resulted in a dose-dependent reduction in cell viability. ECVC was cytotoxic at lower concentrations than ECL and resulted in increased apoptosis and necrosis. nfECVC resulted in less cytotoxicity and apoptosis. Exposure of AMs to a sub-lethal 0.5% ECVC/nfECVC increased ROS production approximately 50-fold and significantly inhibited phagocytosis. Pan and class one isoform phosphoinositide 3 kinase inhibitors partially inhibited the effects of ECVC/nfECVC on macrophage viability and apoptosis. Secretion of interleukin 6, tumour necrosis factor α, CXCL-8, monocyte chemoattractant protein 1 and matrix metalloproteinase 9 was significantly increased following ECVC challenge. Treatment with the anti-oxidant N-acetyl-cysteine (NAC) ameliorated the cytotoxic effects of ECVC/nfECVC to levels not significantly different from baseline and restored phagocytic function. Conclusions ECVC is significantly more toxic to AMs than non-vaped ECL. Excessive production of ROS, inflammatory cytokines and chemokines induced by e-cigarette vapour may induce an inflammatory state in AMs within the lung that is partly dependent on nicotine. Inhibition of phagocytosis also suggests users may suffer from impaired bacterial clearance. While further research is needed to fully understand the effects of e-cigarette exposure in humans in vivo, we caution against the widely held opinion that e-cigarettes are safe.","author":[{"dropping-particle":"","family":"Scott","given":"Aaron","non-dropping-particle":"","parse-names":false,"suffix":""},{"dropping-particle":"","family":"Lugg","given":"Sebastian T.","non-dropping-particle":"","parse-names":false,"suffix":""},{"dropping-particle":"","family":"Aldridge","given":"Kerrie","non-dropping-particle":"","parse-names":false,"suffix":""},{"dropping-particle":"","family":"Lewis","given":"Keir E.","non-dropping-particle":"","parse-names":false,"suffix":""},{"dropping-particle":"","family":"Bowden","given":"Allen","non-dropping-particle":"","parse-names":false,"suffix":""},{"dropping-particle":"","family":"Mahida","given":"Rahul Y.","non-dropping-particle":"","parse-names":false,"suffix":""},{"dropping-particle":"","family":"Grudzinska","given":"Frances Susanna","non-dropping-particle":"","parse-names":false,"suffix":""},{"dropping-particle":"","family":"Dosanjh","given":"Davinder","non-dropping-particle":"","parse-names":false,"suffix":""},{"dropping-particle":"","family":"Parekh","given":"Dhruv","non-dropping-particle":"","parse-names":false,"suffix":""},{"dropping-particle":"","family":"Foronjy","given":"Robert","non-dropping-particle":"","parse-names":false,"suffix":""},{"dropping-particle":"","family":"Sapey","given":"Elizabeth","non-dropping-particle":"","parse-names":false,"suffix":""},{"dropping-particle":"","family":"Naidu","given":"Babu","non-dropping-particle":"","parse-names":false,"suffix":""},{"dropping-particle":"","family":"Thickett","given":"David R.","non-dropping-particle":"","parse-names":false,"suffix":""}],"container-title":"Thorax","id":"ITEM-1","issue":"12","issued":{"date-parts":[["2018","12"]]},"page":"1161-1169","title":"Pro-inflammatory effects of e-cigarette vapour condensate on human alveolar macrophages","type":"article-journal","volume":"73"},"uris":["http://www.mendeley.com/documents/?uuid=c2510008-f8f1-47ae-96c4-459586d5e5bc"]}],"mendeley":{"formattedCitation":"(Scott &lt;i&gt;et al.&lt;/i&gt;, 2018)","plainTextFormattedCitation":"(Scott et al., 2018)","previouslyFormattedCitation":"(Scott &lt;i&gt;et al.&lt;/i&gt;, 2018)"},"properties":{"noteIndex":0},"schema":"https://github.com/citation-style-language/schema/raw/master/csl-citation.json"}</w:instrText>
      </w:r>
      <w:r w:rsidR="00DE5971">
        <w:rPr>
          <w:sz w:val="20"/>
          <w:szCs w:val="20"/>
        </w:rPr>
        <w:fldChar w:fldCharType="separate"/>
      </w:r>
      <w:r w:rsidR="00DE5971" w:rsidRPr="00DE5971">
        <w:rPr>
          <w:noProof/>
          <w:sz w:val="20"/>
          <w:szCs w:val="20"/>
        </w:rPr>
        <w:t xml:space="preserve">(Scott </w:t>
      </w:r>
      <w:r w:rsidR="00DE5971" w:rsidRPr="00DE5971">
        <w:rPr>
          <w:i/>
          <w:noProof/>
          <w:sz w:val="20"/>
          <w:szCs w:val="20"/>
        </w:rPr>
        <w:t>et al.</w:t>
      </w:r>
      <w:r w:rsidR="00DE5971" w:rsidRPr="00DE5971">
        <w:rPr>
          <w:noProof/>
          <w:sz w:val="20"/>
          <w:szCs w:val="20"/>
        </w:rPr>
        <w:t>, 2018)</w:t>
      </w:r>
      <w:r w:rsidR="00DE5971">
        <w:rPr>
          <w:sz w:val="20"/>
          <w:szCs w:val="20"/>
        </w:rPr>
        <w:fldChar w:fldCharType="end"/>
      </w:r>
      <w:r w:rsidRPr="00480CF2">
        <w:rPr>
          <w:sz w:val="20"/>
          <w:szCs w:val="20"/>
        </w:rPr>
        <w:t>.</w:t>
      </w:r>
    </w:p>
    <w:p w14:paraId="02FFD914" w14:textId="28DD7EB2" w:rsidR="00480CF2" w:rsidRDefault="00480CF2" w:rsidP="00D46BD2">
      <w:pPr>
        <w:ind w:firstLine="567"/>
        <w:jc w:val="both"/>
        <w:rPr>
          <w:sz w:val="20"/>
          <w:szCs w:val="20"/>
        </w:rPr>
      </w:pPr>
      <w:r w:rsidRPr="00480CF2">
        <w:rPr>
          <w:sz w:val="20"/>
          <w:szCs w:val="20"/>
        </w:rPr>
        <w:t>In another study, it was discovered that e-cigarettes include formaldehyde, acrolein, and heavy metals. Formaldehyde is known as carcinogen, while acrolein has been found to induce nose irritation, lung</w:t>
      </w:r>
      <w:r>
        <w:rPr>
          <w:sz w:val="20"/>
          <w:szCs w:val="20"/>
        </w:rPr>
        <w:t xml:space="preserve"> </w:t>
      </w:r>
      <w:r w:rsidRPr="00480CF2">
        <w:rPr>
          <w:sz w:val="20"/>
          <w:szCs w:val="20"/>
        </w:rPr>
        <w:t xml:space="preserve">lining damage, and is suspected to contribute to cardiovascular disease in smokers </w:t>
      </w:r>
      <w:r w:rsidR="00DE5971">
        <w:rPr>
          <w:sz w:val="20"/>
          <w:szCs w:val="20"/>
        </w:rPr>
        <w:fldChar w:fldCharType="begin" w:fldLock="1"/>
      </w:r>
      <w:r w:rsidR="00DE5971">
        <w:rPr>
          <w:sz w:val="20"/>
          <w:szCs w:val="20"/>
        </w:rPr>
        <w:instrText>ADDIN CSL_CITATION {"citationItems":[{"id":"ITEM-1","itemData":{"DOI":"10.1136/tobaccocontrol-2012-050859","ISBN":"2012050859","ISSN":"0964-4563","PMID":"23467656","abstract":"Significance: Electronic cigarettes, also known as ecigarettes, are devices designed to imitate regular cigarettes and deliver nicotine via inhalation without combusting tobacco. They are purported to deliver nicotine without other toxicants and to be a safer alternative to regular cigarettes. However, little toxicity testing has been performed to evaluate the chemical nature of vapour generated from e-cigarettes. The aim of this study was to screen e-cigarette vapours for content of four groups of potentially toxic and carcinogenic compounds: carbonyls, volatile organic compounds, nitrosamines and heavy metals. Materials and methods: Vapours were generated from 12 brands of e-cigarettes and the reference product, the medicinal nicotine inhaler, in controlled conditions using a modified smoking machine. The selected toxic compounds were extracted from vapours into a solid or liquid phase and analysed with chromatographic and spectroscopy methods. Results: We found that the e-cigarette vapours contained some toxic substances. The levels of the toxicants were 9-450 times lower than in cigarette smoke and were, in many cases, comparable with trace amounts found in the reference product. Conclusions: Our findings are consistent with the idea that substituting tobacco cigarettes with e-cigarettes may substantially reduce exposure to selected tobacco-specific toxicants. E-cigarettes as a harm reduction strategy among smokers unwilling to quit, warrants further study.","author":[{"dropping-particle":"","family":"Goniewicz","given":"Maciej Lukasz","non-dropping-particle":"","parse-names":false,"suffix":""},{"dropping-particle":"","family":"Knysak","given":"Jakub","non-dropping-particle":"","parse-names":false,"suffix":""},{"dropping-particle":"","family":"Gawron","given":"Michal","non-dropping-particle":"","parse-names":false,"suffix":""},{"dropping-particle":"","family":"Kosmider","given":"Leon","non-dropping-particle":"","parse-names":false,"suffix":""},{"dropping-particle":"","family":"Sobczak","given":"Andrzej","non-dropping-particle":"","parse-names":false,"suffix":""},{"dropping-particle":"","family":"Kurek","given":"Jolanta","non-dropping-particle":"","parse-names":false,"suffix":""},{"dropping-particle":"","family":"Prokopowicz","given":"Adam","non-dropping-particle":"","parse-names":false,"suffix":""},{"dropping-particle":"","family":"Jablonska-Czapla","given":"Magdalena","non-dropping-particle":"","parse-names":false,"suffix":""},{"dropping-particle":"","family":"Rosik-Dulewska","given":"Czeslawa","non-dropping-particle":"","parse-names":false,"suffix":""},{"dropping-particle":"","family":"Havel","given":"Christopher","non-dropping-particle":"","parse-names":false,"suffix":""},{"dropping-particle":"","family":"Jacob","given":"Peyton","non-dropping-particle":"","parse-names":false,"suffix":""},{"dropping-particle":"","family":"Benowitz","given":"Neal","non-dropping-particle":"","parse-names":false,"suffix":""}],"container-title":"Tobacco Control","id":"ITEM-1","issue":"2","issued":{"date-parts":[["2014","3"]]},"page":"133-139","title":"Levels of selected carcinogens and toxicants in vapour from electronic cigarettes","type":"article-journal","volume":"23"},"uris":["http://www.mendeley.com/documents/?uuid=d2660520-cfd9-4f6d-8586-944c16bcc831"]}],"mendeley":{"formattedCitation":"(Goniewicz &lt;i&gt;et al.&lt;/i&gt;, 2014)","plainTextFormattedCitation":"(Goniewicz et al., 2014)","previouslyFormattedCitation":"(Goniewicz &lt;i&gt;et al.&lt;/i&gt;, 2014)"},"properties":{"noteIndex":0},"schema":"https://github.com/citation-style-language/schema/raw/master/csl-citation.json"}</w:instrText>
      </w:r>
      <w:r w:rsidR="00DE5971">
        <w:rPr>
          <w:sz w:val="20"/>
          <w:szCs w:val="20"/>
        </w:rPr>
        <w:fldChar w:fldCharType="separate"/>
      </w:r>
      <w:r w:rsidR="00DE5971" w:rsidRPr="00DE5971">
        <w:rPr>
          <w:noProof/>
          <w:sz w:val="20"/>
          <w:szCs w:val="20"/>
        </w:rPr>
        <w:t xml:space="preserve">(Goniewicz </w:t>
      </w:r>
      <w:r w:rsidR="00DE5971" w:rsidRPr="00DE5971">
        <w:rPr>
          <w:i/>
          <w:noProof/>
          <w:sz w:val="20"/>
          <w:szCs w:val="20"/>
        </w:rPr>
        <w:t>et al.</w:t>
      </w:r>
      <w:r w:rsidR="00DE5971" w:rsidRPr="00DE5971">
        <w:rPr>
          <w:noProof/>
          <w:sz w:val="20"/>
          <w:szCs w:val="20"/>
        </w:rPr>
        <w:t>, 2014)</w:t>
      </w:r>
      <w:r w:rsidR="00DE5971">
        <w:rPr>
          <w:sz w:val="20"/>
          <w:szCs w:val="20"/>
        </w:rPr>
        <w:fldChar w:fldCharType="end"/>
      </w:r>
      <w:r w:rsidRPr="00480CF2">
        <w:rPr>
          <w:sz w:val="20"/>
          <w:szCs w:val="20"/>
        </w:rPr>
        <w:t xml:space="preserve">. </w:t>
      </w:r>
      <w:proofErr w:type="spellStart"/>
      <w:r w:rsidR="00812359">
        <w:rPr>
          <w:sz w:val="20"/>
          <w:szCs w:val="20"/>
        </w:rPr>
        <w:t>Meo</w:t>
      </w:r>
      <w:proofErr w:type="spellEnd"/>
      <w:r w:rsidRPr="00480CF2">
        <w:rPr>
          <w:sz w:val="20"/>
          <w:szCs w:val="20"/>
        </w:rPr>
        <w:t xml:space="preserve"> and his team</w:t>
      </w:r>
      <w:r w:rsidR="00812359">
        <w:rPr>
          <w:sz w:val="20"/>
          <w:szCs w:val="20"/>
        </w:rPr>
        <w:t xml:space="preserve"> </w:t>
      </w:r>
      <w:r w:rsidR="00812359">
        <w:rPr>
          <w:sz w:val="20"/>
          <w:szCs w:val="20"/>
        </w:rPr>
        <w:fldChar w:fldCharType="begin" w:fldLock="1"/>
      </w:r>
      <w:r w:rsidR="00C00B8A">
        <w:rPr>
          <w:sz w:val="20"/>
          <w:szCs w:val="20"/>
        </w:rPr>
        <w:instrText>ADDIN CSL_CITATION {"citationItems":[{"id":"ITEM-1","itemData":{"DOI":"10.1177/1557988318806073","ISSN":"1557-9883","PMID":"30318975","abstract":"Electronic cigarettes (e-cigarettes) are rapidly becoming an alternative form of nicotine consumption worldwide and a disruptive element in the global health diplomacy. This study aimed to investigate the impact of e-cigarettes on lung function and fractional exhaled nitric oxide (FeNO) among young healthy male adults. Sixty apparently healthy male volunteers were recruited and divided into two groups. Group 1 (e-cigarette-exposed group) consisted of 30 males who were daily e-cigarette users (age 27.07 ± 6.00 [mean ± SD] years). Group 2 (control group) consisted of 30 males who were not e-cigarette users (age 25.90 ± 7.72 [mean ± SD] years). Both groups were neither current nor former traditional tobacco users. Age, ethnicity, height, weight, and socioeconomic status were considered using a matched design to investigate the impact of e-cigarette use on lung function and FeNO. The lung function test parameters that were found to be significantly decreased in e-cigarette users compared to their control group were forced expiratory volume in the first second (FEV 1 ), forced expiratory ratio (FEV 1 /FVC), forced expiratory flow—25% (FEF 25% ), forced expiratory flow—50% (FEF 50% ), forced expiratory flow—75% (FEF 75% ), forced expiratory flow—25%–75% (FEF 25%–75% ), and forced expiratory flow—75%–85% (FEF 75%–85% ). FeNO was also decreased in e-cigarette users, but it did not reach the level of significance. The use of e-cigarettes significantly impaired various lung function parameters and the pattern of impairment exhibited a peripheral obstructive airway involvement. These findings have a general message for the global health community on the potential harm of e-cigarettes on lung function.","author":[{"dropping-particle":"","family":"Meo","given":"Sultan Ayoub","non-dropping-particle":"","parse-names":false,"suffix":""},{"dropping-particle":"","family":"Ansary","given":"Muhammad Abdullah","non-dropping-particle":"","parse-names":false,"suffix":""},{"dropping-particle":"","family":"Barayan","given":"Fahad Rayan","non-dropping-particle":"","parse-names":false,"suffix":""},{"dropping-particle":"","family":"Almusallam","given":"Abdulaziz Sulaiman","non-dropping-particle":"","parse-names":false,"suffix":""},{"dropping-particle":"","family":"Almehaid","given":"Abdulrahman Muteb","non-dropping-particle":"","parse-names":false,"suffix":""},{"dropping-particle":"","family":"Alarifi","given":"Nawaf Saad","non-dropping-particle":"","parse-names":false,"suffix":""},{"dropping-particle":"","family":"Alsohaibani","given":"Thamer Abdulnasir","non-dropping-particle":"","parse-names":false,"suffix":""},{"dropping-particle":"","family":"Zia","given":"Inam","non-dropping-particle":"","parse-names":false,"suffix":""}],"container-title":"American Journal of Men's Health","id":"ITEM-1","issue":"1","issued":{"date-parts":[["2018","1"]]},"page":"1-6","title":"Electronic Cigarettes: Impact on Lung Function and Fractional Exhaled Nitric Oxide Among Healthy Adults","type":"article-journal","volume":"13"},"uris":["http://www.mendeley.com/documents/?uuid=3e9506fc-4e8a-47f8-bd9d-e56c40def0d1"]}],"mendeley":{"formattedCitation":"(Meo &lt;i&gt;et al.&lt;/i&gt;, 2018)","manualFormatting":"(2018)","plainTextFormattedCitation":"(Meo et al., 2018)","previouslyFormattedCitation":"(Meo &lt;i&gt;et al.&lt;/i&gt;, 2018)"},"properties":{"noteIndex":0},"schema":"https://github.com/citation-style-language/schema/raw/master/csl-citation.json"}</w:instrText>
      </w:r>
      <w:r w:rsidR="00812359">
        <w:rPr>
          <w:sz w:val="20"/>
          <w:szCs w:val="20"/>
        </w:rPr>
        <w:fldChar w:fldCharType="separate"/>
      </w:r>
      <w:r w:rsidR="00812359" w:rsidRPr="00812359">
        <w:rPr>
          <w:noProof/>
          <w:sz w:val="20"/>
          <w:szCs w:val="20"/>
        </w:rPr>
        <w:t>(2018)</w:t>
      </w:r>
      <w:r w:rsidR="00812359">
        <w:rPr>
          <w:sz w:val="20"/>
          <w:szCs w:val="20"/>
        </w:rPr>
        <w:fldChar w:fldCharType="end"/>
      </w:r>
      <w:r w:rsidR="00812359">
        <w:rPr>
          <w:sz w:val="20"/>
          <w:szCs w:val="20"/>
        </w:rPr>
        <w:t xml:space="preserve"> </w:t>
      </w:r>
      <w:r w:rsidRPr="00480CF2">
        <w:rPr>
          <w:sz w:val="20"/>
          <w:szCs w:val="20"/>
        </w:rPr>
        <w:t>discovered that</w:t>
      </w:r>
      <w:r w:rsidR="00ED116F">
        <w:rPr>
          <w:sz w:val="20"/>
          <w:szCs w:val="20"/>
        </w:rPr>
        <w:t xml:space="preserve"> t</w:t>
      </w:r>
      <w:r w:rsidR="00ED116F" w:rsidRPr="00ED116F">
        <w:rPr>
          <w:sz w:val="20"/>
          <w:szCs w:val="20"/>
        </w:rPr>
        <w:t>he use of e-cigarettes significantly impairs lung function, and the pattern of lung function impairment exhibited peripheral obstructive airway involvement. The present study, although modest in its size, scope, and conclusions, offers vital findings on the potential harm of e-cigarettes.</w:t>
      </w:r>
      <w:r w:rsidRPr="00480CF2">
        <w:rPr>
          <w:sz w:val="20"/>
          <w:szCs w:val="20"/>
        </w:rPr>
        <w:t xml:space="preserve"> </w:t>
      </w:r>
      <w:r w:rsidR="00ED116F">
        <w:rPr>
          <w:sz w:val="20"/>
          <w:szCs w:val="20"/>
        </w:rPr>
        <w:t>S</w:t>
      </w:r>
      <w:r w:rsidRPr="00480CF2">
        <w:rPr>
          <w:sz w:val="20"/>
          <w:szCs w:val="20"/>
        </w:rPr>
        <w:t>imilar to some of the effects reported with tobacco smoking,</w:t>
      </w:r>
      <w:r w:rsidR="00812359">
        <w:rPr>
          <w:sz w:val="20"/>
          <w:szCs w:val="20"/>
        </w:rPr>
        <w:t xml:space="preserve"> this</w:t>
      </w:r>
      <w:r w:rsidR="00ED116F" w:rsidRPr="00ED116F">
        <w:rPr>
          <w:sz w:val="20"/>
          <w:szCs w:val="20"/>
        </w:rPr>
        <w:t xml:space="preserve"> </w:t>
      </w:r>
      <w:r w:rsidR="00812359" w:rsidRPr="00812359">
        <w:rPr>
          <w:sz w:val="20"/>
          <w:szCs w:val="20"/>
        </w:rPr>
        <w:t xml:space="preserve">study identified that pulmonary function test parameters were </w:t>
      </w:r>
      <w:r w:rsidR="00812359" w:rsidRPr="00812359">
        <w:rPr>
          <w:sz w:val="20"/>
          <w:szCs w:val="20"/>
        </w:rPr>
        <w:lastRenderedPageBreak/>
        <w:t xml:space="preserve">decreased in </w:t>
      </w:r>
      <w:r w:rsidR="00812359">
        <w:rPr>
          <w:sz w:val="20"/>
          <w:szCs w:val="20"/>
        </w:rPr>
        <w:t>e-cigarettes</w:t>
      </w:r>
      <w:r w:rsidR="00812359" w:rsidRPr="00812359">
        <w:rPr>
          <w:sz w:val="20"/>
          <w:szCs w:val="20"/>
        </w:rPr>
        <w:t xml:space="preserve"> users compared to their matched control and the pattern of lung function impairment showed peripheral obstructive airway involvement</w:t>
      </w:r>
      <w:r w:rsidR="00812359">
        <w:rPr>
          <w:sz w:val="20"/>
          <w:szCs w:val="20"/>
        </w:rPr>
        <w:t>.</w:t>
      </w:r>
    </w:p>
    <w:p w14:paraId="63004C64" w14:textId="495BDA52" w:rsidR="00480CF2" w:rsidRDefault="00480CF2" w:rsidP="00D46BD2">
      <w:pPr>
        <w:ind w:firstLine="567"/>
        <w:jc w:val="both"/>
        <w:rPr>
          <w:sz w:val="20"/>
          <w:szCs w:val="20"/>
        </w:rPr>
      </w:pPr>
      <w:r w:rsidRPr="00480CF2">
        <w:rPr>
          <w:sz w:val="20"/>
          <w:szCs w:val="20"/>
        </w:rPr>
        <w:t>Based on statistics from National Youth Tobacco Survey done by the US Centers for Disease Control and Prevention (CDC), which included electric smokers in middle and high school, around 2011 and 2015, 4.7 million junior and senior high school students were observed, with 25.3 % using tobacco products and 16% using e-cigarettes. During 2011 and 2015, the use of e</w:t>
      </w:r>
      <w:r>
        <w:rPr>
          <w:sz w:val="20"/>
          <w:szCs w:val="20"/>
        </w:rPr>
        <w:t>-</w:t>
      </w:r>
      <w:r w:rsidRPr="00480CF2">
        <w:rPr>
          <w:sz w:val="20"/>
          <w:szCs w:val="20"/>
        </w:rPr>
        <w:t>cigarettes increased. From 2011 to 2015, the number of high school students who used e-cigarettes increased about 1000%, from 1.5 % (in 2011) to 16% (in 2015)</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DOI":"10.15585/mmwr.mm6514a1","ISSN":"0149-2195","PMID":"25393220","author":[{"dropping-particle":"","family":"Singh","given":"Tushar","non-dropping-particle":"","parse-names":false,"suffix":""},{"dropping-particle":"","family":"Arrazola","given":"René A.","non-dropping-particle":"","parse-names":false,"suffix":""},{"dropping-particle":"","family":"Corey","given":"Catherine G.","non-dropping-particle":"","parse-names":false,"suffix":""},{"dropping-particle":"","family":"Husten","given":"Corinne G.","non-dropping-particle":"","parse-names":false,"suffix":""},{"dropping-particle":"","family":"Neff","given":"Linda J.","non-dropping-particle":"","parse-names":false,"suffix":""},{"dropping-particle":"","family":"Homa","given":"David M","non-dropping-particle":"","parse-names":false,"suffix":""},{"dropping-particle":"","family":"King","given":"Brian A","non-dropping-particle":"","parse-names":false,"suffix":""}],"container-title":"MMWR. Morbidity and Mortality Weekly Report","id":"ITEM-1","issue":"14","issued":{"date-parts":[["2016","4","15"]]},"page":"361-367","title":"Tobacco Use Among Middle and High School Students — United States, 2011–2015","type":"article-journal","volume":"65"},"uris":["http://www.mendeley.com/documents/?uuid=3d65a8ef-a237-4f12-a06a-04db6ad1861f"]}],"mendeley":{"formattedCitation":"(Singh &lt;i&gt;et al.&lt;/i&gt;, 2016)","plainTextFormattedCitation":"(Singh et al., 2016)","previouslyFormattedCitation":"(Singh &lt;i&gt;et al.&lt;/i&gt;, 2016)"},"properties":{"noteIndex":0},"schema":"https://github.com/citation-style-language/schema/raw/master/csl-citation.json"}</w:instrText>
      </w:r>
      <w:r w:rsidR="00DE5971">
        <w:rPr>
          <w:sz w:val="20"/>
          <w:szCs w:val="20"/>
        </w:rPr>
        <w:fldChar w:fldCharType="separate"/>
      </w:r>
      <w:r w:rsidR="00DE5971" w:rsidRPr="00DE5971">
        <w:rPr>
          <w:noProof/>
          <w:sz w:val="20"/>
          <w:szCs w:val="20"/>
        </w:rPr>
        <w:t xml:space="preserve">(Singh </w:t>
      </w:r>
      <w:r w:rsidR="00DE5971" w:rsidRPr="00DE5971">
        <w:rPr>
          <w:i/>
          <w:noProof/>
          <w:sz w:val="20"/>
          <w:szCs w:val="20"/>
        </w:rPr>
        <w:t>et al.</w:t>
      </w:r>
      <w:r w:rsidR="00DE5971" w:rsidRPr="00DE5971">
        <w:rPr>
          <w:noProof/>
          <w:sz w:val="20"/>
          <w:szCs w:val="20"/>
        </w:rPr>
        <w:t>, 2016)</w:t>
      </w:r>
      <w:r w:rsidR="00DE5971">
        <w:rPr>
          <w:sz w:val="20"/>
          <w:szCs w:val="20"/>
        </w:rPr>
        <w:fldChar w:fldCharType="end"/>
      </w:r>
      <w:r w:rsidRPr="00480CF2">
        <w:rPr>
          <w:sz w:val="20"/>
          <w:szCs w:val="20"/>
        </w:rPr>
        <w:t>.</w:t>
      </w:r>
    </w:p>
    <w:p w14:paraId="5895CB62" w14:textId="150862AB" w:rsidR="00480CF2" w:rsidRDefault="00480CF2" w:rsidP="00D46BD2">
      <w:pPr>
        <w:ind w:firstLine="567"/>
        <w:jc w:val="both"/>
        <w:rPr>
          <w:sz w:val="20"/>
          <w:szCs w:val="20"/>
        </w:rPr>
      </w:pPr>
      <w:r w:rsidRPr="00480CF2">
        <w:rPr>
          <w:sz w:val="20"/>
          <w:szCs w:val="20"/>
        </w:rPr>
        <w:t>E-cigarettes are becoming increasingly popular in Indonesia, with an increasing number of users. This indicates that it is freely accessible through online sales, which provide a wide range of designs and flavors</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author":[{"dropping-particle":"","family":"BPOM","given":"","non-dropping-particle":"","parse-names":false,"suffix":""}],"container-title":"InfoPOM","id":"ITEM-1","issue":"5","issued":{"date-parts":[["2015"]]},"page":"1-12","title":"Bahaya rokok elektronik","type":"article-journal","volume":"16"},"uris":["http://www.mendeley.com/documents/?uuid=e632437f-0316-49dd-b89a-2901b1fc8c7c"]}],"mendeley":{"formattedCitation":"(BPOM, 2015)","plainTextFormattedCitation":"(BPOM, 2015)","previouslyFormattedCitation":"(BPOM, 2015)"},"properties":{"noteIndex":0},"schema":"https://github.com/citation-style-language/schema/raw/master/csl-citation.json"}</w:instrText>
      </w:r>
      <w:r w:rsidR="00DE5971">
        <w:rPr>
          <w:sz w:val="20"/>
          <w:szCs w:val="20"/>
        </w:rPr>
        <w:fldChar w:fldCharType="separate"/>
      </w:r>
      <w:r w:rsidR="00DE5971" w:rsidRPr="00DE5971">
        <w:rPr>
          <w:noProof/>
          <w:sz w:val="20"/>
          <w:szCs w:val="20"/>
        </w:rPr>
        <w:t>(BPOM, 2015)</w:t>
      </w:r>
      <w:r w:rsidR="00DE5971">
        <w:rPr>
          <w:sz w:val="20"/>
          <w:szCs w:val="20"/>
        </w:rPr>
        <w:fldChar w:fldCharType="end"/>
      </w:r>
      <w:r w:rsidRPr="00480CF2">
        <w:rPr>
          <w:sz w:val="20"/>
          <w:szCs w:val="20"/>
        </w:rPr>
        <w:t xml:space="preserve">. According to the </w:t>
      </w:r>
      <w:proofErr w:type="spellStart"/>
      <w:r w:rsidRPr="00480CF2">
        <w:rPr>
          <w:sz w:val="20"/>
          <w:szCs w:val="20"/>
        </w:rPr>
        <w:t>Riskesdas</w:t>
      </w:r>
      <w:proofErr w:type="spellEnd"/>
      <w:r w:rsidRPr="00480CF2">
        <w:rPr>
          <w:sz w:val="20"/>
          <w:szCs w:val="20"/>
        </w:rPr>
        <w:t xml:space="preserve"> survey </w:t>
      </w:r>
      <w:r w:rsidR="005B4CF6">
        <w:rPr>
          <w:sz w:val="20"/>
          <w:szCs w:val="20"/>
        </w:rPr>
        <w:fldChar w:fldCharType="begin" w:fldLock="1"/>
      </w:r>
      <w:r w:rsidR="00812359">
        <w:rPr>
          <w:sz w:val="20"/>
          <w:szCs w:val="20"/>
        </w:rPr>
        <w:instrText>ADDIN CSL_CITATION {"citationItems":[{"id":"ITEM-1","itemData":{"abstract":"Badan Penelitian dan Pengembangan Kesehatan telah menyelesaikan Riset Kesehatan Dasar (Riskesdas) 2018 yang dilakukan secara terintegrasi dengan Susenas Maret (Badan Pusat Statistik). Terintegrasinya riset ini sangat penting karena dimungkinkan analisis yang lebih mendalam. Status kesehatan dan determinan kesehatan bisa dilihat dari faktor sosial ekonomi, sehingga informasi yang dihasilkan lebih komprehensif. Data Riskesdas juga dapat digunakan untuk menghitung Indeks Pembangunan Kesehatan Masyarakat (IPKM), sehingga dapat diketahui perubahan pencapaian sasaran pembangunan kesehatan di setiap level wilayah, dari tingkat kabupaten/kota, provinsi maupun nasional. Pengumpulan data Riskesdas yang dilakukan pada 300.000 sampel rumah tangga (1,2 juta jiwa) telah menghasilkan beragam data dan informasi yang memperlihatkan wajah kesehatan Indonesia. Data dan informasi ini meliputi Status Gizi; Kesehatan Ibu; Kesehatan Anak; Penyakit Menular; Penyakit Tidak Menular, Kesehatan Jiwa, dan Kesehatan Gigi Mulut; Disabilitas dan Cidera; Kesehatan Lingkungan; Akses Pelayanan Kesehatan; dan Pelayanan Kesehatan Tradisional.","author":[{"dropping-particle":"","family":"Departemen Kesehatan Republik Indonesia","given":"","non-dropping-particle":"","parse-names":false,"suffix":""}],"id":"ITEM-1","issued":{"date-parts":[["2018"]]},"publisher-place":"Jakarta","title":"Riset Kesehatan Dasar (RISKESDAS)","type":"report"},"uris":["http://www.mendeley.com/documents/?uuid=6703df3c-b316-42cd-b822-848687ea830c"]}],"mendeley":{"formattedCitation":"(Departemen Kesehatan Republik Indonesia, 2018)","manualFormatting":"(2018)","plainTextFormattedCitation":"(Departemen Kesehatan Republik Indonesia, 2018)","previouslyFormattedCitation":"(Departemen Kesehatan Republik Indonesia, 2018)"},"properties":{"noteIndex":0},"schema":"https://github.com/citation-style-language/schema/raw/master/csl-citation.json"}</w:instrText>
      </w:r>
      <w:r w:rsidR="005B4CF6">
        <w:rPr>
          <w:sz w:val="20"/>
          <w:szCs w:val="20"/>
        </w:rPr>
        <w:fldChar w:fldCharType="separate"/>
      </w:r>
      <w:r w:rsidR="005B4CF6" w:rsidRPr="005B4CF6">
        <w:rPr>
          <w:noProof/>
          <w:sz w:val="20"/>
          <w:szCs w:val="20"/>
        </w:rPr>
        <w:t>(2018)</w:t>
      </w:r>
      <w:r w:rsidR="005B4CF6">
        <w:rPr>
          <w:sz w:val="20"/>
          <w:szCs w:val="20"/>
        </w:rPr>
        <w:fldChar w:fldCharType="end"/>
      </w:r>
      <w:r w:rsidR="00DE5971">
        <w:rPr>
          <w:sz w:val="20"/>
          <w:szCs w:val="20"/>
        </w:rPr>
        <w:t xml:space="preserve"> </w:t>
      </w:r>
      <w:r w:rsidR="005B4CF6">
        <w:rPr>
          <w:sz w:val="20"/>
          <w:szCs w:val="20"/>
        </w:rPr>
        <w:t>10</w:t>
      </w:r>
      <w:r w:rsidRPr="00480CF2">
        <w:rPr>
          <w:sz w:val="20"/>
          <w:szCs w:val="20"/>
        </w:rPr>
        <w:t>.</w:t>
      </w:r>
      <w:r w:rsidR="005B4CF6">
        <w:rPr>
          <w:sz w:val="20"/>
          <w:szCs w:val="20"/>
        </w:rPr>
        <w:t>9</w:t>
      </w:r>
      <w:r w:rsidRPr="00480CF2">
        <w:rPr>
          <w:sz w:val="20"/>
          <w:szCs w:val="20"/>
        </w:rPr>
        <w:t>% of adolescents</w:t>
      </w:r>
      <w:r w:rsidR="005B4CF6">
        <w:rPr>
          <w:sz w:val="20"/>
          <w:szCs w:val="20"/>
        </w:rPr>
        <w:t xml:space="preserve"> aged 10 to 18</w:t>
      </w:r>
      <w:r w:rsidRPr="00480CF2">
        <w:rPr>
          <w:sz w:val="20"/>
          <w:szCs w:val="20"/>
        </w:rPr>
        <w:t xml:space="preserve"> smoked e-cigarettes (vaporizers)</w:t>
      </w:r>
      <w:r w:rsidR="005B4CF6">
        <w:rPr>
          <w:sz w:val="20"/>
          <w:szCs w:val="20"/>
        </w:rPr>
        <w:t>.</w:t>
      </w:r>
    </w:p>
    <w:p w14:paraId="3A0101DA" w14:textId="296129AB" w:rsidR="00480CF2" w:rsidRDefault="00480CF2" w:rsidP="00D46BD2">
      <w:pPr>
        <w:ind w:firstLine="567"/>
        <w:jc w:val="both"/>
        <w:rPr>
          <w:sz w:val="20"/>
          <w:szCs w:val="20"/>
        </w:rPr>
      </w:pPr>
      <w:r w:rsidRPr="00480CF2">
        <w:rPr>
          <w:sz w:val="20"/>
          <w:szCs w:val="20"/>
        </w:rPr>
        <w:t xml:space="preserve">Smoking behavior can be influenced by several factors. Factors from the environment (external) is one of them </w:t>
      </w:r>
      <w:r w:rsidR="00DE5971">
        <w:rPr>
          <w:sz w:val="20"/>
          <w:szCs w:val="20"/>
        </w:rPr>
        <w:fldChar w:fldCharType="begin" w:fldLock="1"/>
      </w:r>
      <w:r w:rsidR="00DE5971">
        <w:rPr>
          <w:sz w:val="20"/>
          <w:szCs w:val="20"/>
        </w:rPr>
        <w:instrText>ADDIN CSL_CITATION {"citationItems":[{"id":"ITEM-1","itemData":{"ISBN":"9789795189831","author":[{"dropping-particle":"","family":"Notoatmodjo","given":"Soekidjo","non-dropping-particle":"","parse-names":false,"suffix":""}],"id":"ITEM-1","issued":{"date-parts":[["2010"]]},"number-of-pages":"174","publisher":"PT Rineka Cipta","publisher-place":"Jakarta","title":"Ilmu Perilaku Kesehatan","type":"book"},"uris":["http://www.mendeley.com/documents/?uuid=7e7a114f-f815-4f09-94a5-1238ab5a9fad"]}],"mendeley":{"formattedCitation":"(Notoatmodjo, 2010)","plainTextFormattedCitation":"(Notoatmodjo, 2010)","previouslyFormattedCitation":"(Notoatmodjo, 2010)"},"properties":{"noteIndex":0},"schema":"https://github.com/citation-style-language/schema/raw/master/csl-citation.json"}</w:instrText>
      </w:r>
      <w:r w:rsidR="00DE5971">
        <w:rPr>
          <w:sz w:val="20"/>
          <w:szCs w:val="20"/>
        </w:rPr>
        <w:fldChar w:fldCharType="separate"/>
      </w:r>
      <w:r w:rsidR="00DE5971" w:rsidRPr="00DE5971">
        <w:rPr>
          <w:noProof/>
          <w:sz w:val="20"/>
          <w:szCs w:val="20"/>
        </w:rPr>
        <w:t>(Notoatmodjo, 2010)</w:t>
      </w:r>
      <w:r w:rsidR="00DE5971">
        <w:rPr>
          <w:sz w:val="20"/>
          <w:szCs w:val="20"/>
        </w:rPr>
        <w:fldChar w:fldCharType="end"/>
      </w:r>
      <w:r w:rsidRPr="00480CF2">
        <w:rPr>
          <w:sz w:val="20"/>
          <w:szCs w:val="20"/>
        </w:rPr>
        <w:t xml:space="preserve">. Social support is a factor that comes from the individual's social environment. From </w:t>
      </w:r>
      <w:proofErr w:type="spellStart"/>
      <w:r w:rsidRPr="00480CF2">
        <w:rPr>
          <w:sz w:val="20"/>
          <w:szCs w:val="20"/>
        </w:rPr>
        <w:t>Hasna's</w:t>
      </w:r>
      <w:proofErr w:type="spellEnd"/>
      <w:r w:rsidRPr="00480CF2">
        <w:rPr>
          <w:sz w:val="20"/>
          <w:szCs w:val="20"/>
        </w:rPr>
        <w:t xml:space="preserve"> research</w:t>
      </w:r>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{"citationItems":[{"id":"ITEM-1","itemData":{"ISSN":"2356-3346","abstract":"Based on the results of the preliminary survey that conducted by the researcher by spreading questionnaires to 581 High School students in Bekasi resulting 22.3% smoke electronic cigarette with details the active novice smokers who're using electronic cigarette in the amount of 8.3% while about 13.4% where the smokers who used to smoke tobacco cigarette are now moved on to electronic cigarette. The purpose of this research is to analyze the factors that associated with the usage of electronic cigarette to novice smokers in Bekasi City's High School. The type of this research is descriptive analytic with quantitative approach method. The used research design is cross-sectional study, where the amount of the population in this research is 52 people who are novice electronic smokers in four Bekasi City's High School. The Total of Population technique is used to get the sample for this research where the entire population get the chance to be the sample for the research. Data analysis includes descriptive analysis with the presentation of the frequency distribution table and the analytic analysis uses Chi-Square test to see whether there or not there the relation between respondents' friends' support and family's support with the usage of electronic cigarette in Bekasi City's High School. Statistical test results show that 67.3% respondents use electronic cigarrete. The variables related with the usage of electronic cigarette to novice smokers in Bekasi City's High School is the availability of the electronic cigarette (p-value = 0.000), the affordability of the electronic cigarette (p-value = 0.000), and the respondents' friends' support (p-value = 0.016). While the respondents' knowledge about the electronic cigarette (p-vaalue = 0.416), the respondents' attitude to the usage of the electronic cigarette (p-value = 0.538), the respondents' pocket money (p-value = 1.000) and the family's support (p-value = 0,238) is not related with the usage of the electronic cigarette to novice smokers in Bekasi City's High School.","author":[{"dropping-particle":"","family":"Hasna","given":"F.","non-dropping-particle":"","parse-names":false,"suffix":""},{"dropping-particle":"","family":"Cahyo","given":"K.","non-dropping-particle":"","parse-names":false,"suffix":""},{"dropping-particle":"","family":"Widagdo","given":"L.","non-dropping-particle":"","parse-names":false,"suffix":""}],"container-title":"Jurnal Kesehatan Masyarakat Universitas Diponegoro","id":"ITEM-1","issue":"3","issued":{"date-parts":[["2017"]]},"page":"548-557","title":"Faktor-Faktor Yang Berhubungan Dengan Penggunaan Rokok Elektrik Pada Perokok Pemuladi Sma Kota Bekasi","type":"article-journal","volume":"5"},"uris":["http://www.mendeley.com/documents/?uuid=05e2ebcc-ae71-4f03-b804-e8d374eec7a1"]}],"mendeley":{"formattedCitation":"(Hasna, Cahyo and Widagdo, 2017)","manualFormatting":"(2017)","plainTextFormattedCitation":"(Hasna, Cahyo and Widagdo, 2017)","previouslyFormattedCitation":"(Hasna, Cahyo and Widagdo, 2017)"},"properties":{"noteIndex":0},"schema":"https://github.com/citation-style-language/schema/raw/master/csl-citation.json"}</w:instrText>
      </w:r>
      <w:r w:rsidR="00DE5971">
        <w:rPr>
          <w:sz w:val="20"/>
          <w:szCs w:val="20"/>
        </w:rPr>
        <w:fldChar w:fldCharType="separate"/>
      </w:r>
      <w:r w:rsidR="00DE5971" w:rsidRPr="00DE5971">
        <w:rPr>
          <w:noProof/>
          <w:sz w:val="20"/>
          <w:szCs w:val="20"/>
        </w:rPr>
        <w:t>(2017)</w:t>
      </w:r>
      <w:r w:rsidR="00DE5971">
        <w:rPr>
          <w:sz w:val="20"/>
          <w:szCs w:val="20"/>
        </w:rPr>
        <w:fldChar w:fldCharType="end"/>
      </w:r>
      <w:r w:rsidRPr="00480CF2">
        <w:rPr>
          <w:sz w:val="20"/>
          <w:szCs w:val="20"/>
        </w:rPr>
        <w:t>, there are 22.3% smoking e</w:t>
      </w:r>
      <w:r w:rsidR="00B76297">
        <w:rPr>
          <w:sz w:val="20"/>
          <w:szCs w:val="20"/>
        </w:rPr>
        <w:t>-</w:t>
      </w:r>
      <w:r w:rsidRPr="00480CF2">
        <w:rPr>
          <w:sz w:val="20"/>
          <w:szCs w:val="20"/>
        </w:rPr>
        <w:t>cigarettes in Bekasi City High School adolescents and there is a significant relationship between the availability of e</w:t>
      </w:r>
      <w:r>
        <w:rPr>
          <w:sz w:val="20"/>
          <w:szCs w:val="20"/>
        </w:rPr>
        <w:t>-</w:t>
      </w:r>
      <w:r w:rsidRPr="00480CF2">
        <w:rPr>
          <w:sz w:val="20"/>
          <w:szCs w:val="20"/>
        </w:rPr>
        <w:t>cigarettes and the support of friends on the behavior of using e-cigarettes.</w:t>
      </w:r>
    </w:p>
    <w:p w14:paraId="7D8E33BF" w14:textId="34B7907F" w:rsidR="00B76297" w:rsidRDefault="00B76297" w:rsidP="00D46BD2">
      <w:pPr>
        <w:ind w:firstLine="567"/>
        <w:jc w:val="both"/>
        <w:rPr>
          <w:sz w:val="20"/>
          <w:szCs w:val="20"/>
        </w:rPr>
      </w:pPr>
      <w:r w:rsidRPr="00B76297">
        <w:rPr>
          <w:sz w:val="20"/>
          <w:szCs w:val="20"/>
        </w:rPr>
        <w:t xml:space="preserve">Social support can be defined as a reciprocal exchange of relationships between individuals in which individuals help other individuals. </w:t>
      </w:r>
      <w:proofErr w:type="spellStart"/>
      <w:r w:rsidRPr="00B76297">
        <w:rPr>
          <w:sz w:val="20"/>
          <w:szCs w:val="20"/>
        </w:rPr>
        <w:t>Sarafino</w:t>
      </w:r>
      <w:proofErr w:type="spellEnd"/>
      <w:r w:rsidRPr="00B76297">
        <w:rPr>
          <w:sz w:val="20"/>
          <w:szCs w:val="20"/>
        </w:rPr>
        <w:t xml:space="preserve"> </w:t>
      </w:r>
      <w:r w:rsidR="00DE5971">
        <w:rPr>
          <w:sz w:val="20"/>
          <w:szCs w:val="20"/>
        </w:rPr>
        <w:fldChar w:fldCharType="begin" w:fldLock="1"/>
      </w:r>
      <w:r w:rsidR="00DE5971">
        <w:rPr>
          <w:sz w:val="20"/>
          <w:szCs w:val="20"/>
        </w:rPr>
        <w:instrText>ADDIN CSL_CITATION {"citationItems":[{"id":"ITEM-1","itemData":{"author":[{"dropping-particle":"","family":"Sarafino","given":"Edward P.","non-dropping-particle":"","parse-names":false,"suffix":""}],"id":"ITEM-1","issued":{"date-parts":[["2014"]]},"publisher":"John Wiley &amp; Sons Inc","publisher-place":"New Jersey","title":"Health Psychology : Biopsychososial Interactions 8th Edition.","type":"book"},"uris":["http://www.mendeley.com/documents/?uuid=e5e0115c-c53c-4565-be0d-5ac68ff76a8a"]}],"mendeley":{"formattedCitation":"(Sarafino, 2014)","manualFormatting":"(2014)","plainTextFormattedCitation":"(Sarafino, 2014)","previouslyFormattedCitation":"(Sarafino, 2014)"},"properties":{"noteIndex":0},"schema":"https://github.com/citation-style-language/schema/raw/master/csl-citation.json"}</w:instrText>
      </w:r>
      <w:r w:rsidR="00DE5971">
        <w:rPr>
          <w:sz w:val="20"/>
          <w:szCs w:val="20"/>
        </w:rPr>
        <w:fldChar w:fldCharType="separate"/>
      </w:r>
      <w:r w:rsidR="00DE5971" w:rsidRPr="00DE5971">
        <w:rPr>
          <w:noProof/>
          <w:sz w:val="20"/>
          <w:szCs w:val="20"/>
        </w:rPr>
        <w:t>(2014)</w:t>
      </w:r>
      <w:r w:rsidR="00DE5971">
        <w:rPr>
          <w:sz w:val="20"/>
          <w:szCs w:val="20"/>
        </w:rPr>
        <w:fldChar w:fldCharType="end"/>
      </w:r>
      <w:r w:rsidRPr="00B76297">
        <w:rPr>
          <w:sz w:val="20"/>
          <w:szCs w:val="20"/>
        </w:rPr>
        <w:t xml:space="preserve"> divides social support into four categories: instrumental support, informational support, emotional support, and appr</w:t>
      </w:r>
      <w:r>
        <w:rPr>
          <w:sz w:val="20"/>
          <w:szCs w:val="20"/>
        </w:rPr>
        <w:t>aisal</w:t>
      </w:r>
      <w:r w:rsidRPr="00B76297">
        <w:rPr>
          <w:sz w:val="20"/>
          <w:szCs w:val="20"/>
        </w:rPr>
        <w:t xml:space="preserve"> support. According to </w:t>
      </w:r>
      <w:proofErr w:type="spellStart"/>
      <w:r w:rsidRPr="00B76297">
        <w:rPr>
          <w:sz w:val="20"/>
          <w:szCs w:val="20"/>
        </w:rPr>
        <w:t>Sodik</w:t>
      </w:r>
      <w:proofErr w:type="spellEnd"/>
      <w:r w:rsidR="00DE5971">
        <w:rPr>
          <w:sz w:val="20"/>
          <w:szCs w:val="20"/>
        </w:rPr>
        <w:t xml:space="preserve"> </w:t>
      </w:r>
      <w:r w:rsidR="00DE5971">
        <w:rPr>
          <w:sz w:val="20"/>
          <w:szCs w:val="20"/>
        </w:rPr>
        <w:fldChar w:fldCharType="begin" w:fldLock="1"/>
      </w:r>
      <w:r w:rsidR="00DE5971">
        <w:rPr>
          <w:sz w:val="20"/>
          <w:szCs w:val="20"/>
        </w:rPr>
        <w:instrText>ADDIN CSL_CITATION {"citationItems":[{"id":"ITEM-1","itemData":{"DOI":"10.31219/osf.io/wpek5","ISBN":"9786025737077","author":[{"dropping-particle":"","family":"Sodik","given":"Muhammad Ali","non-dropping-particle":"","parse-names":false,"suffix":""}],"id":"ITEM-1","issued":{"date-parts":[["2018"]]},"number-of-pages":"93","publisher":"PT. NASYA EXPANDING MANAGEMENT","publisher-place":"Pekalongan","title":"Merokok dan Bahayanya","type":"book"},"uris":["http://www.mendeley.com/documents/?uuid=dd03b9a8-8c14-4fe2-bb45-95467c3651ee"]}],"mendeley":{"formattedCitation":"(Sodik, 2018)","manualFormatting":"(2018)","plainTextFormattedCitation":"(Sodik, 2018)","previouslyFormattedCitation":"(Sodik, 2018)"},"properties":{"noteIndex":0},"schema":"https://github.com/citation-style-language/schema/raw/master/csl-citation.json"}</w:instrText>
      </w:r>
      <w:r w:rsidR="00DE5971">
        <w:rPr>
          <w:sz w:val="20"/>
          <w:szCs w:val="20"/>
        </w:rPr>
        <w:fldChar w:fldCharType="separate"/>
      </w:r>
      <w:r w:rsidR="00DE5971" w:rsidRPr="00DE5971">
        <w:rPr>
          <w:noProof/>
          <w:sz w:val="20"/>
          <w:szCs w:val="20"/>
        </w:rPr>
        <w:t>(2018)</w:t>
      </w:r>
      <w:r w:rsidR="00DE5971">
        <w:rPr>
          <w:sz w:val="20"/>
          <w:szCs w:val="20"/>
        </w:rPr>
        <w:fldChar w:fldCharType="end"/>
      </w:r>
      <w:r w:rsidRPr="00B76297">
        <w:rPr>
          <w:sz w:val="20"/>
          <w:szCs w:val="20"/>
        </w:rPr>
        <w:t>, the most important factor in</w:t>
      </w:r>
      <w:r>
        <w:rPr>
          <w:sz w:val="20"/>
          <w:szCs w:val="20"/>
        </w:rPr>
        <w:t xml:space="preserve"> </w:t>
      </w:r>
      <w:r w:rsidRPr="00B76297">
        <w:rPr>
          <w:sz w:val="20"/>
          <w:szCs w:val="20"/>
        </w:rPr>
        <w:t xml:space="preserve">smoking habits is social or social environmental factors, because a person's character can be formed by his or her surroundings, including family and friends. According to the findings of </w:t>
      </w:r>
      <w:proofErr w:type="spellStart"/>
      <w:r w:rsidRPr="00B76297">
        <w:rPr>
          <w:sz w:val="20"/>
          <w:szCs w:val="20"/>
        </w:rPr>
        <w:t>Artanti's</w:t>
      </w:r>
      <w:proofErr w:type="spellEnd"/>
      <w:r w:rsidRPr="00B76297">
        <w:rPr>
          <w:sz w:val="20"/>
          <w:szCs w:val="20"/>
        </w:rPr>
        <w:t xml:space="preserve"> </w:t>
      </w:r>
      <w:r w:rsidR="00DE5971">
        <w:rPr>
          <w:sz w:val="20"/>
          <w:szCs w:val="20"/>
        </w:rPr>
        <w:fldChar w:fldCharType="begin" w:fldLock="1"/>
      </w:r>
      <w:r w:rsidR="00CF28E5">
        <w:rPr>
          <w:sz w:val="20"/>
          <w:szCs w:val="20"/>
        </w:rPr>
        <w:instrText>ADDIN CSL_CITATION {"citationItems":[{"id":"ITEM-1","itemData":{"author":[{"dropping-particle":"","family":"Artanti","given":"Kurnia Dwi","non-dropping-particle":"","parse-names":false,"suffix":""},{"dropping-particle":"","family":"Widati","given":"Sri","non-dropping-particle":"","parse-names":false,"suffix":""},{"dropping-particle":"","family":"Martini","given":"Santi","non-dropping-particle":"","parse-names":false,"suffix":""},{"dropping-particle":"","family":"Megatsari","given":"Hario","non-dropping-particle":"","parse-names":false,"suffix":""},{"dropping-particle":"","family":"Nugroho","given":"Priyono Adi","non-dropping-particle":"","parse-names":false,"suffix":""}],"container-title":"Deskripsi Perilaku Merokok E-Cigarette dan Konvensional Pada Anak Sekolah di Kota Surabaya","id":"ITEM-1","issue":"May","issued":{"date-parts":[["2017"]]},"page":"20-26","publisher":"IAKMI","publisher-place":"Jakarta","title":"4th Indonesian Conference on Tobacco or Health 2017","type":"paper-conference"},"uris":["http://www.mendeley.com/documents/?uuid=ffd932e9-0cc8-4322-8e0b-20111da3687b"]}],"mendeley":{"formattedCitation":"(Artanti &lt;i&gt;et al.&lt;/i&gt;, 2017)","manualFormatting":"(2017)","plainTextFormattedCitation":"(Artanti et al., 2017)","previouslyFormattedCitation":"(Artanti &lt;i&gt;et al.&lt;/i&gt;, 2017)"},"properties":{"noteIndex":0},"schema":"https://github.com/citation-style-language/schema/raw/master/csl-citation.json"}</w:instrText>
      </w:r>
      <w:r w:rsidR="00DE5971">
        <w:rPr>
          <w:sz w:val="20"/>
          <w:szCs w:val="20"/>
        </w:rPr>
        <w:fldChar w:fldCharType="separate"/>
      </w:r>
      <w:r w:rsidR="00DE5971" w:rsidRPr="00DE5971">
        <w:rPr>
          <w:noProof/>
          <w:sz w:val="20"/>
          <w:szCs w:val="20"/>
        </w:rPr>
        <w:t>(2017)</w:t>
      </w:r>
      <w:r w:rsidR="00DE5971">
        <w:rPr>
          <w:sz w:val="20"/>
          <w:szCs w:val="20"/>
        </w:rPr>
        <w:fldChar w:fldCharType="end"/>
      </w:r>
      <w:r w:rsidRPr="00B76297">
        <w:rPr>
          <w:sz w:val="20"/>
          <w:szCs w:val="20"/>
        </w:rPr>
        <w:t xml:space="preserve"> study on students in Surabaya, 77.8 % of friends were the first to encourage them to use e-cigarettes (vape).</w:t>
      </w:r>
    </w:p>
    <w:p w14:paraId="7BC6872F" w14:textId="0B4299E9" w:rsidR="007F2196" w:rsidRPr="00F50129" w:rsidRDefault="00B76297" w:rsidP="00B76297">
      <w:pPr>
        <w:ind w:firstLine="567"/>
        <w:jc w:val="both"/>
        <w:rPr>
          <w:sz w:val="20"/>
          <w:szCs w:val="20"/>
        </w:rPr>
      </w:pPr>
      <w:r w:rsidRPr="00B76297">
        <w:rPr>
          <w:sz w:val="20"/>
          <w:szCs w:val="20"/>
        </w:rPr>
        <w:t>The aim of the study, as stated above, was to investigate the relationship between social support and smoking / vaping behavior of senior high age adolescents in Surabaya.</w:t>
      </w:r>
    </w:p>
    <w:p w14:paraId="47DE063E" w14:textId="77777777" w:rsidR="00D46BD2" w:rsidRPr="00F50129" w:rsidRDefault="00D46BD2" w:rsidP="00584269">
      <w:pPr>
        <w:pStyle w:val="Heading1"/>
      </w:pPr>
      <w:r w:rsidRPr="00F50129">
        <w:t>METHOD</w:t>
      </w:r>
    </w:p>
    <w:p w14:paraId="66837CFB" w14:textId="77777777" w:rsidR="00DD19D4" w:rsidRPr="00F50129" w:rsidRDefault="00DD19D4" w:rsidP="00DD19D4">
      <w:pPr>
        <w:autoSpaceDE w:val="0"/>
        <w:autoSpaceDN w:val="0"/>
        <w:adjustRightInd w:val="0"/>
        <w:jc w:val="both"/>
        <w:rPr>
          <w:b/>
          <w:sz w:val="20"/>
          <w:szCs w:val="20"/>
        </w:rPr>
      </w:pPr>
    </w:p>
    <w:p w14:paraId="41AA23D3" w14:textId="77777777" w:rsidR="00B76297" w:rsidRDefault="00B76297" w:rsidP="00B8229D">
      <w:pPr>
        <w:widowControl w:val="0"/>
        <w:autoSpaceDE w:val="0"/>
        <w:autoSpaceDN w:val="0"/>
        <w:adjustRightInd w:val="0"/>
        <w:ind w:firstLine="567"/>
        <w:jc w:val="both"/>
        <w:rPr>
          <w:sz w:val="20"/>
          <w:szCs w:val="20"/>
        </w:rPr>
      </w:pPr>
      <w:r w:rsidRPr="00B76297">
        <w:rPr>
          <w:sz w:val="20"/>
          <w:szCs w:val="20"/>
        </w:rPr>
        <w:t xml:space="preserve">This was a quantitative study using a cross-sectional design and observational analytic approach. The population consisted of high school adolescents aged 15 to 18 in Surabaya who had access to the internet. Snowball sampling was used to collect the 145 respondents. This study was done in Surabaya from March 1 to 31, 2021. </w:t>
      </w:r>
    </w:p>
    <w:p w14:paraId="50EF1F37" w14:textId="54CFC44A" w:rsidR="00D46BD2" w:rsidRPr="00F50129" w:rsidRDefault="00B76297" w:rsidP="00B8229D">
      <w:pPr>
        <w:widowControl w:val="0"/>
        <w:autoSpaceDE w:val="0"/>
        <w:autoSpaceDN w:val="0"/>
        <w:adjustRightInd w:val="0"/>
        <w:ind w:firstLine="567"/>
        <w:jc w:val="both"/>
        <w:rPr>
          <w:sz w:val="20"/>
          <w:szCs w:val="20"/>
        </w:rPr>
      </w:pPr>
      <w:r w:rsidRPr="00B76297">
        <w:rPr>
          <w:sz w:val="20"/>
          <w:szCs w:val="20"/>
        </w:rPr>
        <w:t xml:space="preserve">A questionnaire was used to collect data. The questionnaires were distributed via online media (Google Forms), which were then shared with respondents via social media (line, </w:t>
      </w:r>
      <w:proofErr w:type="spellStart"/>
      <w:r w:rsidRPr="00B76297">
        <w:rPr>
          <w:sz w:val="20"/>
          <w:szCs w:val="20"/>
        </w:rPr>
        <w:t>whatsapp</w:t>
      </w:r>
      <w:proofErr w:type="spellEnd"/>
      <w:r w:rsidRPr="00B76297">
        <w:rPr>
          <w:sz w:val="20"/>
          <w:szCs w:val="20"/>
        </w:rPr>
        <w:t xml:space="preserve">, or </w:t>
      </w:r>
      <w:proofErr w:type="spellStart"/>
      <w:r w:rsidRPr="00B76297">
        <w:rPr>
          <w:sz w:val="20"/>
          <w:szCs w:val="20"/>
        </w:rPr>
        <w:t>instagram</w:t>
      </w:r>
      <w:proofErr w:type="spellEnd"/>
      <w:r w:rsidRPr="00B76297">
        <w:rPr>
          <w:sz w:val="20"/>
          <w:szCs w:val="20"/>
        </w:rPr>
        <w:t>). Univariate analysis was used to obtain the frequency distribution, and bivariate analysis was used to find out the relationship between the independent variables (social support) and the dependent variable (smoking / vaping behavior).</w:t>
      </w:r>
    </w:p>
    <w:p w14:paraId="3315E9A5" w14:textId="49B9560C" w:rsidR="006840C2" w:rsidRPr="00F50129" w:rsidRDefault="00F50129" w:rsidP="00584269">
      <w:pPr>
        <w:pStyle w:val="Heading1"/>
      </w:pPr>
      <w:r w:rsidRPr="00F50129">
        <w:t>RESULT AND DISCUSSION</w:t>
      </w:r>
    </w:p>
    <w:p w14:paraId="6AB12419" w14:textId="77777777" w:rsidR="00DD19D4" w:rsidRPr="00F50129" w:rsidRDefault="00DD19D4" w:rsidP="00DD19D4">
      <w:pPr>
        <w:widowControl w:val="0"/>
        <w:autoSpaceDE w:val="0"/>
        <w:autoSpaceDN w:val="0"/>
        <w:adjustRightInd w:val="0"/>
        <w:jc w:val="both"/>
        <w:rPr>
          <w:sz w:val="20"/>
          <w:szCs w:val="20"/>
        </w:rPr>
      </w:pPr>
    </w:p>
    <w:p w14:paraId="59420070" w14:textId="799635F2" w:rsidR="00B76297" w:rsidRDefault="00B76297" w:rsidP="00B76297">
      <w:pPr>
        <w:widowControl w:val="0"/>
        <w:autoSpaceDE w:val="0"/>
        <w:autoSpaceDN w:val="0"/>
        <w:adjustRightInd w:val="0"/>
        <w:jc w:val="both"/>
        <w:rPr>
          <w:b/>
          <w:bCs/>
          <w:sz w:val="20"/>
          <w:szCs w:val="20"/>
        </w:rPr>
      </w:pPr>
      <w:r>
        <w:rPr>
          <w:b/>
          <w:bCs/>
          <w:sz w:val="20"/>
          <w:szCs w:val="20"/>
        </w:rPr>
        <w:t>Univariate Analysis</w:t>
      </w:r>
    </w:p>
    <w:p w14:paraId="05039E8D" w14:textId="77777777" w:rsidR="00B76297" w:rsidRDefault="00B76297" w:rsidP="00B8229D">
      <w:pPr>
        <w:widowControl w:val="0"/>
        <w:autoSpaceDE w:val="0"/>
        <w:autoSpaceDN w:val="0"/>
        <w:adjustRightInd w:val="0"/>
        <w:ind w:firstLine="567"/>
        <w:jc w:val="both"/>
        <w:rPr>
          <w:sz w:val="20"/>
          <w:szCs w:val="20"/>
        </w:rPr>
      </w:pPr>
      <w:r w:rsidRPr="00B76297">
        <w:rPr>
          <w:sz w:val="20"/>
          <w:szCs w:val="20"/>
        </w:rPr>
        <w:t>Univariate analysis aimed to find out the information related to social support and smoking behavior on Senior High School age adolescents in Surabaya. The result of univariate analysis is as follows.</w:t>
      </w:r>
    </w:p>
    <w:p w14:paraId="77E58807" w14:textId="77777777" w:rsidR="00B76297" w:rsidRDefault="00B76297" w:rsidP="00B8229D">
      <w:pPr>
        <w:widowControl w:val="0"/>
        <w:autoSpaceDE w:val="0"/>
        <w:autoSpaceDN w:val="0"/>
        <w:adjustRightInd w:val="0"/>
        <w:ind w:firstLine="567"/>
        <w:jc w:val="both"/>
        <w:rPr>
          <w:sz w:val="20"/>
          <w:szCs w:val="20"/>
        </w:rPr>
      </w:pPr>
    </w:p>
    <w:p w14:paraId="121F3E01" w14:textId="40413F91" w:rsidR="00B76297" w:rsidRPr="00B76297" w:rsidRDefault="00B76297" w:rsidP="00B76297">
      <w:pPr>
        <w:widowControl w:val="0"/>
        <w:autoSpaceDE w:val="0"/>
        <w:autoSpaceDN w:val="0"/>
        <w:adjustRightInd w:val="0"/>
        <w:jc w:val="both"/>
        <w:rPr>
          <w:b/>
          <w:bCs/>
          <w:sz w:val="20"/>
          <w:szCs w:val="20"/>
        </w:rPr>
      </w:pPr>
      <w:r>
        <w:rPr>
          <w:b/>
          <w:bCs/>
          <w:sz w:val="20"/>
          <w:szCs w:val="20"/>
        </w:rPr>
        <w:t>Tabl</w:t>
      </w:r>
      <w:r w:rsidR="00850B91">
        <w:rPr>
          <w:b/>
          <w:bCs/>
          <w:sz w:val="20"/>
          <w:szCs w:val="20"/>
        </w:rPr>
        <w:t>e</w:t>
      </w:r>
      <w:r>
        <w:rPr>
          <w:b/>
          <w:bCs/>
          <w:sz w:val="20"/>
          <w:szCs w:val="20"/>
        </w:rPr>
        <w:t xml:space="preserve"> 1.</w:t>
      </w:r>
      <w:r w:rsidR="00850B91">
        <w:rPr>
          <w:b/>
          <w:bCs/>
          <w:sz w:val="20"/>
          <w:szCs w:val="20"/>
        </w:rPr>
        <w:t xml:space="preserve"> </w:t>
      </w:r>
      <w:r w:rsidR="00850B91" w:rsidRPr="00496275">
        <w:rPr>
          <w:bCs/>
          <w:sz w:val="20"/>
          <w:szCs w:val="20"/>
        </w:rPr>
        <w:t>Frequency Distr</w:t>
      </w:r>
      <w:r w:rsidR="008068C9" w:rsidRPr="00496275">
        <w:rPr>
          <w:bCs/>
          <w:sz w:val="20"/>
          <w:szCs w:val="20"/>
        </w:rPr>
        <w:t>i</w:t>
      </w:r>
      <w:r w:rsidR="00850B91" w:rsidRPr="00496275">
        <w:rPr>
          <w:bCs/>
          <w:sz w:val="20"/>
          <w:szCs w:val="20"/>
        </w:rPr>
        <w:t>bution of Respondents’ Social Support on Smoking / Vaping Behavior</w:t>
      </w:r>
      <w:r>
        <w:rPr>
          <w:b/>
          <w:bCs/>
          <w:sz w:val="20"/>
          <w:szCs w:val="20"/>
        </w:rPr>
        <w:t xml:space="preserve"> </w:t>
      </w:r>
    </w:p>
    <w:tbl>
      <w:tblPr>
        <w:tblW w:w="0" w:type="auto"/>
        <w:tblInd w:w="5" w:type="dxa"/>
        <w:tblCellMar>
          <w:left w:w="0" w:type="dxa"/>
          <w:right w:w="0" w:type="dxa"/>
        </w:tblCellMar>
        <w:tblLook w:val="04A0" w:firstRow="1" w:lastRow="0" w:firstColumn="1" w:lastColumn="0" w:noHBand="0" w:noVBand="1"/>
      </w:tblPr>
      <w:tblGrid>
        <w:gridCol w:w="2005"/>
        <w:gridCol w:w="1937"/>
        <w:gridCol w:w="1956"/>
        <w:gridCol w:w="2030"/>
      </w:tblGrid>
      <w:tr w:rsidR="00B76297" w:rsidRPr="00B76297" w14:paraId="2E2E3986" w14:textId="77777777" w:rsidTr="00055689">
        <w:tc>
          <w:tcPr>
            <w:tcW w:w="2005" w:type="dxa"/>
            <w:tcBorders>
              <w:top w:val="single" w:sz="4" w:space="0" w:color="auto"/>
              <w:bottom w:val="single" w:sz="4" w:space="0" w:color="auto"/>
            </w:tcBorders>
            <w:shd w:val="clear" w:color="auto" w:fill="auto"/>
          </w:tcPr>
          <w:p w14:paraId="12EA1EF5" w14:textId="77777777" w:rsidR="00B76297" w:rsidRPr="00B76297" w:rsidRDefault="00B76297" w:rsidP="007974F5">
            <w:pPr>
              <w:jc w:val="center"/>
              <w:rPr>
                <w:b/>
                <w:i/>
                <w:iCs/>
                <w:sz w:val="20"/>
                <w:szCs w:val="20"/>
              </w:rPr>
            </w:pPr>
            <w:r w:rsidRPr="00B76297">
              <w:rPr>
                <w:b/>
                <w:i/>
                <w:iCs/>
                <w:sz w:val="20"/>
                <w:szCs w:val="20"/>
              </w:rPr>
              <w:t>Social Support</w:t>
            </w:r>
          </w:p>
        </w:tc>
        <w:tc>
          <w:tcPr>
            <w:tcW w:w="1937" w:type="dxa"/>
            <w:tcBorders>
              <w:top w:val="single" w:sz="4" w:space="0" w:color="auto"/>
              <w:bottom w:val="single" w:sz="4" w:space="0" w:color="auto"/>
            </w:tcBorders>
            <w:shd w:val="clear" w:color="auto" w:fill="auto"/>
          </w:tcPr>
          <w:p w14:paraId="3AB2696E" w14:textId="498F9FC6" w:rsidR="00B76297" w:rsidRPr="00B76297" w:rsidRDefault="00850B91" w:rsidP="007974F5">
            <w:pPr>
              <w:jc w:val="center"/>
              <w:rPr>
                <w:b/>
                <w:sz w:val="20"/>
                <w:szCs w:val="20"/>
              </w:rPr>
            </w:pPr>
            <w:r>
              <w:rPr>
                <w:b/>
                <w:sz w:val="20"/>
                <w:szCs w:val="20"/>
              </w:rPr>
              <w:t>Category</w:t>
            </w:r>
          </w:p>
        </w:tc>
        <w:tc>
          <w:tcPr>
            <w:tcW w:w="1956" w:type="dxa"/>
            <w:tcBorders>
              <w:top w:val="single" w:sz="4" w:space="0" w:color="auto"/>
              <w:bottom w:val="single" w:sz="4" w:space="0" w:color="auto"/>
            </w:tcBorders>
            <w:shd w:val="clear" w:color="auto" w:fill="auto"/>
          </w:tcPr>
          <w:p w14:paraId="6983854A" w14:textId="60B04FF5" w:rsidR="00B76297" w:rsidRPr="00B76297" w:rsidRDefault="00B76297" w:rsidP="007974F5">
            <w:pPr>
              <w:jc w:val="center"/>
              <w:rPr>
                <w:b/>
                <w:sz w:val="20"/>
                <w:szCs w:val="20"/>
              </w:rPr>
            </w:pPr>
            <w:r w:rsidRPr="00B76297">
              <w:rPr>
                <w:b/>
                <w:sz w:val="20"/>
                <w:szCs w:val="20"/>
              </w:rPr>
              <w:t>Fre</w:t>
            </w:r>
            <w:r w:rsidR="00850B91">
              <w:rPr>
                <w:b/>
                <w:sz w:val="20"/>
                <w:szCs w:val="20"/>
              </w:rPr>
              <w:t>quency</w:t>
            </w:r>
          </w:p>
        </w:tc>
        <w:tc>
          <w:tcPr>
            <w:tcW w:w="2030" w:type="dxa"/>
            <w:tcBorders>
              <w:top w:val="single" w:sz="4" w:space="0" w:color="auto"/>
              <w:bottom w:val="single" w:sz="4" w:space="0" w:color="auto"/>
            </w:tcBorders>
            <w:shd w:val="clear" w:color="auto" w:fill="auto"/>
          </w:tcPr>
          <w:p w14:paraId="759D4A09" w14:textId="338C1289" w:rsidR="00B76297" w:rsidRPr="00B76297" w:rsidRDefault="00B76297" w:rsidP="007974F5">
            <w:pPr>
              <w:jc w:val="center"/>
              <w:rPr>
                <w:b/>
                <w:sz w:val="20"/>
                <w:szCs w:val="20"/>
              </w:rPr>
            </w:pPr>
            <w:r w:rsidRPr="00B76297">
              <w:rPr>
                <w:b/>
                <w:sz w:val="20"/>
                <w:szCs w:val="20"/>
              </w:rPr>
              <w:t>P</w:t>
            </w:r>
            <w:r w:rsidR="00850B91">
              <w:rPr>
                <w:b/>
                <w:sz w:val="20"/>
                <w:szCs w:val="20"/>
              </w:rPr>
              <w:t>ercentage</w:t>
            </w:r>
            <w:r w:rsidR="008068C9">
              <w:rPr>
                <w:b/>
                <w:sz w:val="20"/>
                <w:szCs w:val="20"/>
              </w:rPr>
              <w:t xml:space="preserve"> </w:t>
            </w:r>
            <w:r w:rsidRPr="00B76297">
              <w:rPr>
                <w:b/>
                <w:sz w:val="20"/>
                <w:szCs w:val="20"/>
              </w:rPr>
              <w:t>(%)</w:t>
            </w:r>
          </w:p>
        </w:tc>
      </w:tr>
      <w:tr w:rsidR="00B76297" w:rsidRPr="00B76297" w14:paraId="6351EBD3" w14:textId="77777777" w:rsidTr="00055689">
        <w:tc>
          <w:tcPr>
            <w:tcW w:w="2005" w:type="dxa"/>
            <w:vMerge w:val="restart"/>
            <w:tcBorders>
              <w:top w:val="single" w:sz="4" w:space="0" w:color="auto"/>
            </w:tcBorders>
            <w:shd w:val="clear" w:color="auto" w:fill="auto"/>
          </w:tcPr>
          <w:p w14:paraId="3E61A611" w14:textId="73628820" w:rsidR="00B76297" w:rsidRPr="00B76297" w:rsidRDefault="00B76297" w:rsidP="007974F5">
            <w:pPr>
              <w:jc w:val="center"/>
              <w:rPr>
                <w:b/>
                <w:sz w:val="20"/>
                <w:szCs w:val="20"/>
              </w:rPr>
            </w:pPr>
            <w:r w:rsidRPr="00B76297">
              <w:rPr>
                <w:b/>
                <w:sz w:val="20"/>
                <w:szCs w:val="20"/>
              </w:rPr>
              <w:t>Instrumental</w:t>
            </w:r>
            <w:r w:rsidR="00850B91">
              <w:rPr>
                <w:b/>
                <w:sz w:val="20"/>
                <w:szCs w:val="20"/>
              </w:rPr>
              <w:t xml:space="preserve"> Support</w:t>
            </w:r>
          </w:p>
        </w:tc>
        <w:tc>
          <w:tcPr>
            <w:tcW w:w="1937" w:type="dxa"/>
            <w:tcBorders>
              <w:top w:val="single" w:sz="4" w:space="0" w:color="auto"/>
            </w:tcBorders>
            <w:shd w:val="clear" w:color="auto" w:fill="auto"/>
          </w:tcPr>
          <w:p w14:paraId="432CB297" w14:textId="3E80538B" w:rsidR="00B76297" w:rsidRPr="00B76297" w:rsidRDefault="00850B91" w:rsidP="007974F5">
            <w:pPr>
              <w:jc w:val="center"/>
              <w:rPr>
                <w:bCs/>
                <w:sz w:val="20"/>
                <w:szCs w:val="20"/>
              </w:rPr>
            </w:pPr>
            <w:r>
              <w:rPr>
                <w:bCs/>
                <w:sz w:val="20"/>
                <w:szCs w:val="20"/>
              </w:rPr>
              <w:t>High</w:t>
            </w:r>
          </w:p>
        </w:tc>
        <w:tc>
          <w:tcPr>
            <w:tcW w:w="1956" w:type="dxa"/>
            <w:tcBorders>
              <w:top w:val="single" w:sz="4" w:space="0" w:color="auto"/>
            </w:tcBorders>
            <w:shd w:val="clear" w:color="auto" w:fill="auto"/>
          </w:tcPr>
          <w:p w14:paraId="24CC3196" w14:textId="77777777" w:rsidR="00B76297" w:rsidRPr="00B76297" w:rsidRDefault="00B76297" w:rsidP="007974F5">
            <w:pPr>
              <w:jc w:val="center"/>
              <w:rPr>
                <w:bCs/>
                <w:sz w:val="20"/>
                <w:szCs w:val="20"/>
              </w:rPr>
            </w:pPr>
            <w:r w:rsidRPr="00B76297">
              <w:rPr>
                <w:bCs/>
                <w:sz w:val="20"/>
                <w:szCs w:val="20"/>
              </w:rPr>
              <w:t>39</w:t>
            </w:r>
          </w:p>
        </w:tc>
        <w:tc>
          <w:tcPr>
            <w:tcW w:w="2030" w:type="dxa"/>
            <w:tcBorders>
              <w:top w:val="single" w:sz="4" w:space="0" w:color="auto"/>
            </w:tcBorders>
            <w:shd w:val="clear" w:color="auto" w:fill="auto"/>
          </w:tcPr>
          <w:p w14:paraId="4896FC17" w14:textId="619F557A" w:rsidR="00B76297" w:rsidRPr="00B76297" w:rsidRDefault="00B76297" w:rsidP="007974F5">
            <w:pPr>
              <w:jc w:val="center"/>
              <w:rPr>
                <w:bCs/>
                <w:sz w:val="20"/>
                <w:szCs w:val="20"/>
              </w:rPr>
            </w:pPr>
            <w:r w:rsidRPr="00B76297">
              <w:rPr>
                <w:bCs/>
                <w:sz w:val="20"/>
                <w:szCs w:val="20"/>
              </w:rPr>
              <w:t>26</w:t>
            </w:r>
            <w:r w:rsidR="00850B91">
              <w:rPr>
                <w:bCs/>
                <w:sz w:val="20"/>
                <w:szCs w:val="20"/>
              </w:rPr>
              <w:t>.</w:t>
            </w:r>
            <w:r w:rsidRPr="00B76297">
              <w:rPr>
                <w:bCs/>
                <w:sz w:val="20"/>
                <w:szCs w:val="20"/>
              </w:rPr>
              <w:t>9</w:t>
            </w:r>
          </w:p>
        </w:tc>
      </w:tr>
      <w:tr w:rsidR="00B76297" w:rsidRPr="00B76297" w14:paraId="278A4CC8" w14:textId="77777777" w:rsidTr="00055689">
        <w:tc>
          <w:tcPr>
            <w:tcW w:w="2005" w:type="dxa"/>
            <w:vMerge/>
            <w:shd w:val="clear" w:color="auto" w:fill="auto"/>
          </w:tcPr>
          <w:p w14:paraId="58D0E5F4" w14:textId="77777777" w:rsidR="00B76297" w:rsidRPr="00B76297" w:rsidRDefault="00B76297" w:rsidP="007974F5">
            <w:pPr>
              <w:jc w:val="center"/>
              <w:rPr>
                <w:b/>
                <w:sz w:val="20"/>
                <w:szCs w:val="20"/>
              </w:rPr>
            </w:pPr>
          </w:p>
        </w:tc>
        <w:tc>
          <w:tcPr>
            <w:tcW w:w="1937" w:type="dxa"/>
            <w:shd w:val="clear" w:color="auto" w:fill="auto"/>
          </w:tcPr>
          <w:p w14:paraId="6112957C" w14:textId="46F34CE6" w:rsidR="00B76297" w:rsidRPr="00B76297" w:rsidRDefault="00850B91" w:rsidP="007974F5">
            <w:pPr>
              <w:jc w:val="center"/>
              <w:rPr>
                <w:bCs/>
                <w:sz w:val="20"/>
                <w:szCs w:val="20"/>
              </w:rPr>
            </w:pPr>
            <w:r>
              <w:rPr>
                <w:bCs/>
                <w:sz w:val="20"/>
                <w:szCs w:val="20"/>
              </w:rPr>
              <w:t>Low</w:t>
            </w:r>
          </w:p>
        </w:tc>
        <w:tc>
          <w:tcPr>
            <w:tcW w:w="1956" w:type="dxa"/>
            <w:shd w:val="clear" w:color="auto" w:fill="auto"/>
          </w:tcPr>
          <w:p w14:paraId="20FD99B4" w14:textId="77777777" w:rsidR="00B76297" w:rsidRPr="00B76297" w:rsidRDefault="00B76297" w:rsidP="007974F5">
            <w:pPr>
              <w:jc w:val="center"/>
              <w:rPr>
                <w:bCs/>
                <w:sz w:val="20"/>
                <w:szCs w:val="20"/>
              </w:rPr>
            </w:pPr>
            <w:r w:rsidRPr="00B76297">
              <w:rPr>
                <w:bCs/>
                <w:sz w:val="20"/>
                <w:szCs w:val="20"/>
              </w:rPr>
              <w:t>106</w:t>
            </w:r>
          </w:p>
        </w:tc>
        <w:tc>
          <w:tcPr>
            <w:tcW w:w="2030" w:type="dxa"/>
            <w:shd w:val="clear" w:color="auto" w:fill="auto"/>
          </w:tcPr>
          <w:p w14:paraId="3BFE5832" w14:textId="4B879CAE" w:rsidR="00B76297" w:rsidRPr="00B76297" w:rsidRDefault="00B76297" w:rsidP="007974F5">
            <w:pPr>
              <w:jc w:val="center"/>
              <w:rPr>
                <w:bCs/>
                <w:sz w:val="20"/>
                <w:szCs w:val="20"/>
              </w:rPr>
            </w:pPr>
            <w:r w:rsidRPr="00B76297">
              <w:rPr>
                <w:bCs/>
                <w:sz w:val="20"/>
                <w:szCs w:val="20"/>
              </w:rPr>
              <w:t>73</w:t>
            </w:r>
            <w:r w:rsidR="00850B91">
              <w:rPr>
                <w:bCs/>
                <w:sz w:val="20"/>
                <w:szCs w:val="20"/>
              </w:rPr>
              <w:t>.</w:t>
            </w:r>
            <w:r w:rsidRPr="00B76297">
              <w:rPr>
                <w:bCs/>
                <w:sz w:val="20"/>
                <w:szCs w:val="20"/>
              </w:rPr>
              <w:t>1</w:t>
            </w:r>
          </w:p>
        </w:tc>
      </w:tr>
      <w:tr w:rsidR="00B76297" w:rsidRPr="00B76297" w14:paraId="603658BC" w14:textId="77777777" w:rsidTr="00055689">
        <w:tc>
          <w:tcPr>
            <w:tcW w:w="2005" w:type="dxa"/>
            <w:vMerge/>
            <w:tcBorders>
              <w:bottom w:val="single" w:sz="4" w:space="0" w:color="auto"/>
            </w:tcBorders>
            <w:shd w:val="clear" w:color="auto" w:fill="auto"/>
          </w:tcPr>
          <w:p w14:paraId="7FB06D98" w14:textId="77777777" w:rsidR="00B76297" w:rsidRPr="00B76297" w:rsidRDefault="00B76297" w:rsidP="007974F5">
            <w:pPr>
              <w:jc w:val="center"/>
              <w:rPr>
                <w:b/>
                <w:sz w:val="20"/>
                <w:szCs w:val="20"/>
              </w:rPr>
            </w:pPr>
          </w:p>
        </w:tc>
        <w:tc>
          <w:tcPr>
            <w:tcW w:w="1937" w:type="dxa"/>
            <w:tcBorders>
              <w:bottom w:val="single" w:sz="4" w:space="0" w:color="auto"/>
            </w:tcBorders>
            <w:shd w:val="clear" w:color="auto" w:fill="auto"/>
          </w:tcPr>
          <w:p w14:paraId="2E69515D" w14:textId="77777777" w:rsidR="00B76297" w:rsidRPr="00B76297" w:rsidRDefault="00B76297" w:rsidP="007974F5">
            <w:pPr>
              <w:jc w:val="center"/>
              <w:rPr>
                <w:b/>
                <w:sz w:val="20"/>
                <w:szCs w:val="20"/>
              </w:rPr>
            </w:pPr>
            <w:r w:rsidRPr="00B76297">
              <w:rPr>
                <w:b/>
                <w:sz w:val="20"/>
                <w:szCs w:val="20"/>
              </w:rPr>
              <w:t>Total</w:t>
            </w:r>
          </w:p>
        </w:tc>
        <w:tc>
          <w:tcPr>
            <w:tcW w:w="1956" w:type="dxa"/>
            <w:tcBorders>
              <w:bottom w:val="single" w:sz="4" w:space="0" w:color="auto"/>
            </w:tcBorders>
            <w:shd w:val="clear" w:color="auto" w:fill="auto"/>
          </w:tcPr>
          <w:p w14:paraId="19631B0E" w14:textId="77777777" w:rsidR="00B76297" w:rsidRPr="00B76297" w:rsidRDefault="00B76297" w:rsidP="007974F5">
            <w:pPr>
              <w:jc w:val="center"/>
              <w:rPr>
                <w:b/>
                <w:sz w:val="20"/>
                <w:szCs w:val="20"/>
              </w:rPr>
            </w:pPr>
            <w:r w:rsidRPr="00B76297">
              <w:rPr>
                <w:b/>
                <w:sz w:val="20"/>
                <w:szCs w:val="20"/>
              </w:rPr>
              <w:t>145</w:t>
            </w:r>
          </w:p>
        </w:tc>
        <w:tc>
          <w:tcPr>
            <w:tcW w:w="2030" w:type="dxa"/>
            <w:tcBorders>
              <w:bottom w:val="single" w:sz="4" w:space="0" w:color="auto"/>
            </w:tcBorders>
            <w:shd w:val="clear" w:color="auto" w:fill="auto"/>
          </w:tcPr>
          <w:p w14:paraId="0A119964" w14:textId="77777777" w:rsidR="00B76297" w:rsidRPr="00B76297" w:rsidRDefault="00B76297" w:rsidP="007974F5">
            <w:pPr>
              <w:jc w:val="center"/>
              <w:rPr>
                <w:b/>
                <w:sz w:val="20"/>
                <w:szCs w:val="20"/>
              </w:rPr>
            </w:pPr>
            <w:r w:rsidRPr="00B76297">
              <w:rPr>
                <w:b/>
                <w:sz w:val="20"/>
                <w:szCs w:val="20"/>
              </w:rPr>
              <w:t>100</w:t>
            </w:r>
          </w:p>
        </w:tc>
      </w:tr>
      <w:tr w:rsidR="00B76297" w:rsidRPr="00B76297" w14:paraId="166674D5" w14:textId="77777777" w:rsidTr="00055689">
        <w:tc>
          <w:tcPr>
            <w:tcW w:w="2005" w:type="dxa"/>
            <w:vMerge w:val="restart"/>
            <w:tcBorders>
              <w:top w:val="single" w:sz="4" w:space="0" w:color="auto"/>
            </w:tcBorders>
            <w:shd w:val="clear" w:color="auto" w:fill="auto"/>
          </w:tcPr>
          <w:p w14:paraId="1FF7021C" w14:textId="18F73FCC" w:rsidR="00B76297" w:rsidRPr="00B76297" w:rsidRDefault="00B76297" w:rsidP="007974F5">
            <w:pPr>
              <w:jc w:val="center"/>
              <w:rPr>
                <w:b/>
                <w:sz w:val="20"/>
                <w:szCs w:val="20"/>
              </w:rPr>
            </w:pPr>
            <w:r w:rsidRPr="00B76297">
              <w:rPr>
                <w:b/>
                <w:sz w:val="20"/>
                <w:szCs w:val="20"/>
              </w:rPr>
              <w:t>Informa</w:t>
            </w:r>
            <w:r w:rsidR="00850B91">
              <w:rPr>
                <w:b/>
                <w:sz w:val="20"/>
                <w:szCs w:val="20"/>
              </w:rPr>
              <w:t>t</w:t>
            </w:r>
            <w:r w:rsidRPr="00B76297">
              <w:rPr>
                <w:b/>
                <w:sz w:val="20"/>
                <w:szCs w:val="20"/>
              </w:rPr>
              <w:t>i</w:t>
            </w:r>
            <w:r w:rsidR="00850B91">
              <w:rPr>
                <w:b/>
                <w:sz w:val="20"/>
                <w:szCs w:val="20"/>
              </w:rPr>
              <w:t>onal Support</w:t>
            </w:r>
          </w:p>
        </w:tc>
        <w:tc>
          <w:tcPr>
            <w:tcW w:w="1937" w:type="dxa"/>
            <w:tcBorders>
              <w:top w:val="single" w:sz="4" w:space="0" w:color="auto"/>
            </w:tcBorders>
            <w:shd w:val="clear" w:color="auto" w:fill="auto"/>
          </w:tcPr>
          <w:p w14:paraId="6218AF88" w14:textId="51A28064" w:rsidR="00B76297" w:rsidRPr="00B76297" w:rsidRDefault="00850B91" w:rsidP="007974F5">
            <w:pPr>
              <w:jc w:val="center"/>
              <w:rPr>
                <w:bCs/>
                <w:sz w:val="20"/>
                <w:szCs w:val="20"/>
              </w:rPr>
            </w:pPr>
            <w:r>
              <w:rPr>
                <w:bCs/>
                <w:sz w:val="20"/>
                <w:szCs w:val="20"/>
              </w:rPr>
              <w:t>High</w:t>
            </w:r>
          </w:p>
        </w:tc>
        <w:tc>
          <w:tcPr>
            <w:tcW w:w="1956" w:type="dxa"/>
            <w:tcBorders>
              <w:top w:val="single" w:sz="4" w:space="0" w:color="auto"/>
            </w:tcBorders>
            <w:shd w:val="clear" w:color="auto" w:fill="auto"/>
          </w:tcPr>
          <w:p w14:paraId="6812D98F" w14:textId="77777777" w:rsidR="00B76297" w:rsidRPr="00B76297" w:rsidRDefault="00B76297" w:rsidP="007974F5">
            <w:pPr>
              <w:jc w:val="center"/>
              <w:rPr>
                <w:bCs/>
                <w:sz w:val="20"/>
                <w:szCs w:val="20"/>
              </w:rPr>
            </w:pPr>
            <w:r w:rsidRPr="00B76297">
              <w:rPr>
                <w:bCs/>
                <w:sz w:val="20"/>
                <w:szCs w:val="20"/>
              </w:rPr>
              <w:t>26</w:t>
            </w:r>
          </w:p>
        </w:tc>
        <w:tc>
          <w:tcPr>
            <w:tcW w:w="2030" w:type="dxa"/>
            <w:tcBorders>
              <w:top w:val="single" w:sz="4" w:space="0" w:color="auto"/>
            </w:tcBorders>
            <w:shd w:val="clear" w:color="auto" w:fill="auto"/>
          </w:tcPr>
          <w:p w14:paraId="36312508" w14:textId="1C4C9282" w:rsidR="00B76297" w:rsidRPr="00B76297" w:rsidRDefault="00B76297" w:rsidP="007974F5">
            <w:pPr>
              <w:jc w:val="center"/>
              <w:rPr>
                <w:bCs/>
                <w:sz w:val="20"/>
                <w:szCs w:val="20"/>
              </w:rPr>
            </w:pPr>
            <w:r w:rsidRPr="00B76297">
              <w:rPr>
                <w:bCs/>
                <w:sz w:val="20"/>
                <w:szCs w:val="20"/>
              </w:rPr>
              <w:t>17</w:t>
            </w:r>
            <w:r w:rsidR="00850B91">
              <w:rPr>
                <w:bCs/>
                <w:sz w:val="20"/>
                <w:szCs w:val="20"/>
              </w:rPr>
              <w:t>.</w:t>
            </w:r>
            <w:r w:rsidRPr="00B76297">
              <w:rPr>
                <w:bCs/>
                <w:sz w:val="20"/>
                <w:szCs w:val="20"/>
              </w:rPr>
              <w:t>9</w:t>
            </w:r>
          </w:p>
        </w:tc>
      </w:tr>
      <w:tr w:rsidR="00B76297" w:rsidRPr="00B76297" w14:paraId="0A6C5CBF" w14:textId="77777777" w:rsidTr="00055689">
        <w:tc>
          <w:tcPr>
            <w:tcW w:w="2005" w:type="dxa"/>
            <w:vMerge/>
            <w:shd w:val="clear" w:color="auto" w:fill="auto"/>
          </w:tcPr>
          <w:p w14:paraId="739CC972" w14:textId="77777777" w:rsidR="00B76297" w:rsidRPr="00B76297" w:rsidRDefault="00B76297" w:rsidP="007974F5">
            <w:pPr>
              <w:jc w:val="center"/>
              <w:rPr>
                <w:b/>
                <w:sz w:val="20"/>
                <w:szCs w:val="20"/>
              </w:rPr>
            </w:pPr>
          </w:p>
        </w:tc>
        <w:tc>
          <w:tcPr>
            <w:tcW w:w="1937" w:type="dxa"/>
            <w:shd w:val="clear" w:color="auto" w:fill="auto"/>
          </w:tcPr>
          <w:p w14:paraId="60E911D9" w14:textId="69C2DF4F" w:rsidR="00B76297" w:rsidRPr="00B76297" w:rsidRDefault="00850B91" w:rsidP="007974F5">
            <w:pPr>
              <w:jc w:val="center"/>
              <w:rPr>
                <w:bCs/>
                <w:sz w:val="20"/>
                <w:szCs w:val="20"/>
              </w:rPr>
            </w:pPr>
            <w:r>
              <w:rPr>
                <w:bCs/>
                <w:sz w:val="20"/>
                <w:szCs w:val="20"/>
              </w:rPr>
              <w:t>Low</w:t>
            </w:r>
          </w:p>
        </w:tc>
        <w:tc>
          <w:tcPr>
            <w:tcW w:w="1956" w:type="dxa"/>
            <w:shd w:val="clear" w:color="auto" w:fill="auto"/>
          </w:tcPr>
          <w:p w14:paraId="685EA059" w14:textId="77777777" w:rsidR="00B76297" w:rsidRPr="00B76297" w:rsidRDefault="00B76297" w:rsidP="007974F5">
            <w:pPr>
              <w:jc w:val="center"/>
              <w:rPr>
                <w:bCs/>
                <w:sz w:val="20"/>
                <w:szCs w:val="20"/>
              </w:rPr>
            </w:pPr>
            <w:r w:rsidRPr="00B76297">
              <w:rPr>
                <w:bCs/>
                <w:sz w:val="20"/>
                <w:szCs w:val="20"/>
              </w:rPr>
              <w:t>119</w:t>
            </w:r>
          </w:p>
        </w:tc>
        <w:tc>
          <w:tcPr>
            <w:tcW w:w="2030" w:type="dxa"/>
            <w:shd w:val="clear" w:color="auto" w:fill="auto"/>
          </w:tcPr>
          <w:p w14:paraId="113A7377" w14:textId="6BEE138A" w:rsidR="00B76297" w:rsidRPr="00B76297" w:rsidRDefault="00B76297" w:rsidP="007974F5">
            <w:pPr>
              <w:jc w:val="center"/>
              <w:rPr>
                <w:bCs/>
                <w:sz w:val="20"/>
                <w:szCs w:val="20"/>
              </w:rPr>
            </w:pPr>
            <w:r w:rsidRPr="00B76297">
              <w:rPr>
                <w:bCs/>
                <w:sz w:val="20"/>
                <w:szCs w:val="20"/>
              </w:rPr>
              <w:t>82</w:t>
            </w:r>
            <w:r w:rsidR="00850B91">
              <w:rPr>
                <w:bCs/>
                <w:sz w:val="20"/>
                <w:szCs w:val="20"/>
              </w:rPr>
              <w:t>.</w:t>
            </w:r>
            <w:r w:rsidRPr="00B76297">
              <w:rPr>
                <w:bCs/>
                <w:sz w:val="20"/>
                <w:szCs w:val="20"/>
              </w:rPr>
              <w:t>1</w:t>
            </w:r>
          </w:p>
        </w:tc>
      </w:tr>
      <w:tr w:rsidR="00B76297" w:rsidRPr="00B76297" w14:paraId="53FB6F0D" w14:textId="77777777" w:rsidTr="00055689">
        <w:tc>
          <w:tcPr>
            <w:tcW w:w="2005" w:type="dxa"/>
            <w:vMerge/>
            <w:tcBorders>
              <w:bottom w:val="single" w:sz="4" w:space="0" w:color="auto"/>
            </w:tcBorders>
            <w:shd w:val="clear" w:color="auto" w:fill="auto"/>
          </w:tcPr>
          <w:p w14:paraId="7A2ECDEB" w14:textId="77777777" w:rsidR="00B76297" w:rsidRPr="00B76297" w:rsidRDefault="00B76297" w:rsidP="007974F5">
            <w:pPr>
              <w:jc w:val="center"/>
              <w:rPr>
                <w:b/>
                <w:sz w:val="20"/>
                <w:szCs w:val="20"/>
              </w:rPr>
            </w:pPr>
          </w:p>
        </w:tc>
        <w:tc>
          <w:tcPr>
            <w:tcW w:w="1937" w:type="dxa"/>
            <w:tcBorders>
              <w:bottom w:val="single" w:sz="4" w:space="0" w:color="auto"/>
            </w:tcBorders>
            <w:shd w:val="clear" w:color="auto" w:fill="auto"/>
          </w:tcPr>
          <w:p w14:paraId="709EBBF6" w14:textId="77777777" w:rsidR="00B76297" w:rsidRPr="00B76297" w:rsidRDefault="00B76297" w:rsidP="007974F5">
            <w:pPr>
              <w:jc w:val="center"/>
              <w:rPr>
                <w:b/>
                <w:sz w:val="20"/>
                <w:szCs w:val="20"/>
              </w:rPr>
            </w:pPr>
            <w:r w:rsidRPr="00B76297">
              <w:rPr>
                <w:b/>
                <w:sz w:val="20"/>
                <w:szCs w:val="20"/>
              </w:rPr>
              <w:t>Total</w:t>
            </w:r>
          </w:p>
        </w:tc>
        <w:tc>
          <w:tcPr>
            <w:tcW w:w="1956" w:type="dxa"/>
            <w:tcBorders>
              <w:bottom w:val="single" w:sz="4" w:space="0" w:color="auto"/>
            </w:tcBorders>
            <w:shd w:val="clear" w:color="auto" w:fill="auto"/>
          </w:tcPr>
          <w:p w14:paraId="149DB57F" w14:textId="77777777" w:rsidR="00B76297" w:rsidRPr="00B76297" w:rsidRDefault="00B76297" w:rsidP="007974F5">
            <w:pPr>
              <w:jc w:val="center"/>
              <w:rPr>
                <w:b/>
                <w:sz w:val="20"/>
                <w:szCs w:val="20"/>
              </w:rPr>
            </w:pPr>
            <w:r w:rsidRPr="00B76297">
              <w:rPr>
                <w:b/>
                <w:sz w:val="20"/>
                <w:szCs w:val="20"/>
              </w:rPr>
              <w:t>145</w:t>
            </w:r>
          </w:p>
        </w:tc>
        <w:tc>
          <w:tcPr>
            <w:tcW w:w="2030" w:type="dxa"/>
            <w:tcBorders>
              <w:bottom w:val="single" w:sz="4" w:space="0" w:color="auto"/>
            </w:tcBorders>
            <w:shd w:val="clear" w:color="auto" w:fill="auto"/>
          </w:tcPr>
          <w:p w14:paraId="0148769F" w14:textId="77777777" w:rsidR="00B76297" w:rsidRPr="00B76297" w:rsidRDefault="00B76297" w:rsidP="007974F5">
            <w:pPr>
              <w:jc w:val="center"/>
              <w:rPr>
                <w:b/>
                <w:sz w:val="20"/>
                <w:szCs w:val="20"/>
              </w:rPr>
            </w:pPr>
            <w:r w:rsidRPr="00B76297">
              <w:rPr>
                <w:b/>
                <w:sz w:val="20"/>
                <w:szCs w:val="20"/>
              </w:rPr>
              <w:t>100</w:t>
            </w:r>
          </w:p>
        </w:tc>
      </w:tr>
      <w:tr w:rsidR="00B76297" w:rsidRPr="00B76297" w14:paraId="7B1E1022" w14:textId="77777777" w:rsidTr="00055689">
        <w:tc>
          <w:tcPr>
            <w:tcW w:w="2005" w:type="dxa"/>
            <w:vMerge w:val="restart"/>
            <w:tcBorders>
              <w:top w:val="single" w:sz="4" w:space="0" w:color="auto"/>
            </w:tcBorders>
            <w:shd w:val="clear" w:color="auto" w:fill="auto"/>
          </w:tcPr>
          <w:p w14:paraId="6FE035E4" w14:textId="3718826A" w:rsidR="00B76297" w:rsidRPr="00B76297" w:rsidRDefault="00B76297" w:rsidP="007974F5">
            <w:pPr>
              <w:jc w:val="center"/>
              <w:rPr>
                <w:b/>
                <w:sz w:val="20"/>
                <w:szCs w:val="20"/>
              </w:rPr>
            </w:pPr>
            <w:r w:rsidRPr="00B76297">
              <w:rPr>
                <w:b/>
                <w:sz w:val="20"/>
                <w:szCs w:val="20"/>
              </w:rPr>
              <w:t>Emo</w:t>
            </w:r>
            <w:r w:rsidR="00850B91">
              <w:rPr>
                <w:b/>
                <w:sz w:val="20"/>
                <w:szCs w:val="20"/>
              </w:rPr>
              <w:t>t</w:t>
            </w:r>
            <w:r w:rsidRPr="00B76297">
              <w:rPr>
                <w:b/>
                <w:sz w:val="20"/>
                <w:szCs w:val="20"/>
              </w:rPr>
              <w:t>ional</w:t>
            </w:r>
            <w:r w:rsidR="00850B91">
              <w:rPr>
                <w:b/>
                <w:sz w:val="20"/>
                <w:szCs w:val="20"/>
              </w:rPr>
              <w:t xml:space="preserve"> Support</w:t>
            </w:r>
          </w:p>
        </w:tc>
        <w:tc>
          <w:tcPr>
            <w:tcW w:w="1937" w:type="dxa"/>
            <w:tcBorders>
              <w:top w:val="single" w:sz="4" w:space="0" w:color="auto"/>
            </w:tcBorders>
            <w:shd w:val="clear" w:color="auto" w:fill="auto"/>
          </w:tcPr>
          <w:p w14:paraId="07804DEA" w14:textId="166ED617" w:rsidR="00B76297" w:rsidRPr="00B76297" w:rsidRDefault="00850B91" w:rsidP="007974F5">
            <w:pPr>
              <w:jc w:val="center"/>
              <w:rPr>
                <w:bCs/>
                <w:sz w:val="20"/>
                <w:szCs w:val="20"/>
              </w:rPr>
            </w:pPr>
            <w:r>
              <w:rPr>
                <w:bCs/>
                <w:sz w:val="20"/>
                <w:szCs w:val="20"/>
              </w:rPr>
              <w:t>High</w:t>
            </w:r>
          </w:p>
        </w:tc>
        <w:tc>
          <w:tcPr>
            <w:tcW w:w="1956" w:type="dxa"/>
            <w:tcBorders>
              <w:top w:val="single" w:sz="4" w:space="0" w:color="auto"/>
            </w:tcBorders>
            <w:shd w:val="clear" w:color="auto" w:fill="auto"/>
          </w:tcPr>
          <w:p w14:paraId="6039B4A4" w14:textId="77777777" w:rsidR="00B76297" w:rsidRPr="00B76297" w:rsidRDefault="00B76297" w:rsidP="007974F5">
            <w:pPr>
              <w:jc w:val="center"/>
              <w:rPr>
                <w:bCs/>
                <w:sz w:val="20"/>
                <w:szCs w:val="20"/>
              </w:rPr>
            </w:pPr>
            <w:r w:rsidRPr="00B76297">
              <w:rPr>
                <w:bCs/>
                <w:sz w:val="20"/>
                <w:szCs w:val="20"/>
              </w:rPr>
              <w:t>45</w:t>
            </w:r>
          </w:p>
        </w:tc>
        <w:tc>
          <w:tcPr>
            <w:tcW w:w="2030" w:type="dxa"/>
            <w:tcBorders>
              <w:top w:val="single" w:sz="4" w:space="0" w:color="auto"/>
            </w:tcBorders>
            <w:shd w:val="clear" w:color="auto" w:fill="auto"/>
          </w:tcPr>
          <w:p w14:paraId="20D3DEFB" w14:textId="77777777" w:rsidR="00B76297" w:rsidRPr="00B76297" w:rsidRDefault="00B76297" w:rsidP="007974F5">
            <w:pPr>
              <w:jc w:val="center"/>
              <w:rPr>
                <w:bCs/>
                <w:sz w:val="20"/>
                <w:szCs w:val="20"/>
              </w:rPr>
            </w:pPr>
            <w:r w:rsidRPr="00B76297">
              <w:rPr>
                <w:bCs/>
                <w:sz w:val="20"/>
                <w:szCs w:val="20"/>
              </w:rPr>
              <w:t>31</w:t>
            </w:r>
          </w:p>
        </w:tc>
      </w:tr>
      <w:tr w:rsidR="00B76297" w:rsidRPr="00B76297" w14:paraId="1784E80F" w14:textId="77777777" w:rsidTr="00055689">
        <w:tc>
          <w:tcPr>
            <w:tcW w:w="2005" w:type="dxa"/>
            <w:vMerge/>
            <w:shd w:val="clear" w:color="auto" w:fill="auto"/>
          </w:tcPr>
          <w:p w14:paraId="4B5DD718" w14:textId="77777777" w:rsidR="00B76297" w:rsidRPr="00B76297" w:rsidRDefault="00B76297" w:rsidP="007974F5">
            <w:pPr>
              <w:jc w:val="center"/>
              <w:rPr>
                <w:b/>
                <w:sz w:val="20"/>
                <w:szCs w:val="20"/>
              </w:rPr>
            </w:pPr>
          </w:p>
        </w:tc>
        <w:tc>
          <w:tcPr>
            <w:tcW w:w="1937" w:type="dxa"/>
            <w:shd w:val="clear" w:color="auto" w:fill="auto"/>
          </w:tcPr>
          <w:p w14:paraId="6A119F8A" w14:textId="62D10A14" w:rsidR="00B76297" w:rsidRPr="00B76297" w:rsidRDefault="00850B91" w:rsidP="007974F5">
            <w:pPr>
              <w:jc w:val="center"/>
              <w:rPr>
                <w:bCs/>
                <w:sz w:val="20"/>
                <w:szCs w:val="20"/>
              </w:rPr>
            </w:pPr>
            <w:r>
              <w:rPr>
                <w:bCs/>
                <w:sz w:val="20"/>
                <w:szCs w:val="20"/>
              </w:rPr>
              <w:t>Low</w:t>
            </w:r>
          </w:p>
        </w:tc>
        <w:tc>
          <w:tcPr>
            <w:tcW w:w="1956" w:type="dxa"/>
            <w:shd w:val="clear" w:color="auto" w:fill="auto"/>
          </w:tcPr>
          <w:p w14:paraId="41225995" w14:textId="77777777" w:rsidR="00B76297" w:rsidRPr="00B76297" w:rsidRDefault="00B76297" w:rsidP="007974F5">
            <w:pPr>
              <w:jc w:val="center"/>
              <w:rPr>
                <w:bCs/>
                <w:sz w:val="20"/>
                <w:szCs w:val="20"/>
              </w:rPr>
            </w:pPr>
            <w:r w:rsidRPr="00B76297">
              <w:rPr>
                <w:bCs/>
                <w:sz w:val="20"/>
                <w:szCs w:val="20"/>
              </w:rPr>
              <w:t>100</w:t>
            </w:r>
          </w:p>
        </w:tc>
        <w:tc>
          <w:tcPr>
            <w:tcW w:w="2030" w:type="dxa"/>
            <w:shd w:val="clear" w:color="auto" w:fill="auto"/>
          </w:tcPr>
          <w:p w14:paraId="5DD38AE9" w14:textId="77777777" w:rsidR="00B76297" w:rsidRPr="00B76297" w:rsidRDefault="00B76297" w:rsidP="007974F5">
            <w:pPr>
              <w:jc w:val="center"/>
              <w:rPr>
                <w:bCs/>
                <w:sz w:val="20"/>
                <w:szCs w:val="20"/>
              </w:rPr>
            </w:pPr>
            <w:r w:rsidRPr="00B76297">
              <w:rPr>
                <w:bCs/>
                <w:sz w:val="20"/>
                <w:szCs w:val="20"/>
              </w:rPr>
              <w:t>69</w:t>
            </w:r>
          </w:p>
        </w:tc>
      </w:tr>
      <w:tr w:rsidR="00B76297" w:rsidRPr="00B76297" w14:paraId="5153E2D6" w14:textId="77777777" w:rsidTr="00055689">
        <w:tc>
          <w:tcPr>
            <w:tcW w:w="2005" w:type="dxa"/>
            <w:vMerge/>
            <w:tcBorders>
              <w:bottom w:val="single" w:sz="4" w:space="0" w:color="auto"/>
            </w:tcBorders>
            <w:shd w:val="clear" w:color="auto" w:fill="auto"/>
          </w:tcPr>
          <w:p w14:paraId="60C75200" w14:textId="77777777" w:rsidR="00B76297" w:rsidRPr="00B76297" w:rsidRDefault="00B76297" w:rsidP="007974F5">
            <w:pPr>
              <w:jc w:val="center"/>
              <w:rPr>
                <w:b/>
                <w:sz w:val="20"/>
                <w:szCs w:val="20"/>
              </w:rPr>
            </w:pPr>
          </w:p>
        </w:tc>
        <w:tc>
          <w:tcPr>
            <w:tcW w:w="1937" w:type="dxa"/>
            <w:tcBorders>
              <w:bottom w:val="single" w:sz="4" w:space="0" w:color="auto"/>
            </w:tcBorders>
            <w:shd w:val="clear" w:color="auto" w:fill="auto"/>
          </w:tcPr>
          <w:p w14:paraId="59A1BFF0" w14:textId="77777777" w:rsidR="00B76297" w:rsidRPr="00B76297" w:rsidRDefault="00B76297" w:rsidP="007974F5">
            <w:pPr>
              <w:jc w:val="center"/>
              <w:rPr>
                <w:b/>
                <w:sz w:val="20"/>
                <w:szCs w:val="20"/>
              </w:rPr>
            </w:pPr>
            <w:r w:rsidRPr="00B76297">
              <w:rPr>
                <w:b/>
                <w:sz w:val="20"/>
                <w:szCs w:val="20"/>
              </w:rPr>
              <w:t>Total</w:t>
            </w:r>
          </w:p>
        </w:tc>
        <w:tc>
          <w:tcPr>
            <w:tcW w:w="1956" w:type="dxa"/>
            <w:tcBorders>
              <w:bottom w:val="single" w:sz="4" w:space="0" w:color="auto"/>
            </w:tcBorders>
            <w:shd w:val="clear" w:color="auto" w:fill="auto"/>
          </w:tcPr>
          <w:p w14:paraId="2D4D3048" w14:textId="77777777" w:rsidR="00B76297" w:rsidRPr="00B76297" w:rsidRDefault="00B76297" w:rsidP="007974F5">
            <w:pPr>
              <w:jc w:val="center"/>
              <w:rPr>
                <w:b/>
                <w:sz w:val="20"/>
                <w:szCs w:val="20"/>
              </w:rPr>
            </w:pPr>
            <w:r w:rsidRPr="00B76297">
              <w:rPr>
                <w:b/>
                <w:sz w:val="20"/>
                <w:szCs w:val="20"/>
              </w:rPr>
              <w:t>145</w:t>
            </w:r>
          </w:p>
        </w:tc>
        <w:tc>
          <w:tcPr>
            <w:tcW w:w="2030" w:type="dxa"/>
            <w:tcBorders>
              <w:bottom w:val="single" w:sz="4" w:space="0" w:color="auto"/>
            </w:tcBorders>
            <w:shd w:val="clear" w:color="auto" w:fill="auto"/>
          </w:tcPr>
          <w:p w14:paraId="054208AF" w14:textId="77777777" w:rsidR="00B76297" w:rsidRPr="00B76297" w:rsidRDefault="00B76297" w:rsidP="007974F5">
            <w:pPr>
              <w:jc w:val="center"/>
              <w:rPr>
                <w:b/>
                <w:sz w:val="20"/>
                <w:szCs w:val="20"/>
              </w:rPr>
            </w:pPr>
            <w:r w:rsidRPr="00B76297">
              <w:rPr>
                <w:b/>
                <w:sz w:val="20"/>
                <w:szCs w:val="20"/>
              </w:rPr>
              <w:t>100</w:t>
            </w:r>
          </w:p>
        </w:tc>
      </w:tr>
      <w:tr w:rsidR="00B56834" w:rsidRPr="00B76297" w14:paraId="04BAEDF8" w14:textId="77777777" w:rsidTr="00055689">
        <w:tc>
          <w:tcPr>
            <w:tcW w:w="2005" w:type="dxa"/>
            <w:tcBorders>
              <w:bottom w:val="single" w:sz="4" w:space="0" w:color="auto"/>
            </w:tcBorders>
            <w:shd w:val="clear" w:color="auto" w:fill="auto"/>
          </w:tcPr>
          <w:p w14:paraId="183F38B3" w14:textId="654C69B5" w:rsidR="00B56834" w:rsidRPr="00B76297" w:rsidRDefault="00B56834" w:rsidP="007974F5">
            <w:pPr>
              <w:jc w:val="center"/>
              <w:rPr>
                <w:b/>
                <w:sz w:val="20"/>
                <w:szCs w:val="20"/>
              </w:rPr>
            </w:pPr>
            <w:r w:rsidRPr="00B76297">
              <w:rPr>
                <w:b/>
                <w:i/>
                <w:iCs/>
                <w:sz w:val="20"/>
                <w:szCs w:val="20"/>
              </w:rPr>
              <w:t>Social Support</w:t>
            </w:r>
          </w:p>
        </w:tc>
        <w:tc>
          <w:tcPr>
            <w:tcW w:w="1937" w:type="dxa"/>
            <w:tcBorders>
              <w:bottom w:val="single" w:sz="4" w:space="0" w:color="auto"/>
            </w:tcBorders>
            <w:shd w:val="clear" w:color="auto" w:fill="auto"/>
          </w:tcPr>
          <w:p w14:paraId="4C6EE519" w14:textId="3F802543" w:rsidR="00B56834" w:rsidRPr="00B76297" w:rsidRDefault="00B56834" w:rsidP="007974F5">
            <w:pPr>
              <w:jc w:val="center"/>
              <w:rPr>
                <w:b/>
                <w:sz w:val="20"/>
                <w:szCs w:val="20"/>
              </w:rPr>
            </w:pPr>
            <w:r>
              <w:rPr>
                <w:b/>
                <w:sz w:val="20"/>
                <w:szCs w:val="20"/>
              </w:rPr>
              <w:t>Category</w:t>
            </w:r>
          </w:p>
        </w:tc>
        <w:tc>
          <w:tcPr>
            <w:tcW w:w="1956" w:type="dxa"/>
            <w:tcBorders>
              <w:bottom w:val="single" w:sz="4" w:space="0" w:color="auto"/>
            </w:tcBorders>
            <w:shd w:val="clear" w:color="auto" w:fill="auto"/>
          </w:tcPr>
          <w:p w14:paraId="5557C127" w14:textId="32225362" w:rsidR="00B56834" w:rsidRPr="00B76297" w:rsidRDefault="00B56834" w:rsidP="007974F5">
            <w:pPr>
              <w:jc w:val="center"/>
              <w:rPr>
                <w:b/>
                <w:sz w:val="20"/>
                <w:szCs w:val="20"/>
              </w:rPr>
            </w:pPr>
            <w:r w:rsidRPr="00B76297">
              <w:rPr>
                <w:b/>
                <w:sz w:val="20"/>
                <w:szCs w:val="20"/>
              </w:rPr>
              <w:t>Fre</w:t>
            </w:r>
            <w:r>
              <w:rPr>
                <w:b/>
                <w:sz w:val="20"/>
                <w:szCs w:val="20"/>
              </w:rPr>
              <w:t>quency</w:t>
            </w:r>
          </w:p>
        </w:tc>
        <w:tc>
          <w:tcPr>
            <w:tcW w:w="2030" w:type="dxa"/>
            <w:tcBorders>
              <w:bottom w:val="single" w:sz="4" w:space="0" w:color="auto"/>
            </w:tcBorders>
            <w:shd w:val="clear" w:color="auto" w:fill="auto"/>
          </w:tcPr>
          <w:p w14:paraId="2299E38A" w14:textId="69E59A7C" w:rsidR="00B56834" w:rsidRPr="00B76297" w:rsidRDefault="00B56834" w:rsidP="007974F5">
            <w:pPr>
              <w:jc w:val="center"/>
              <w:rPr>
                <w:b/>
                <w:sz w:val="20"/>
                <w:szCs w:val="20"/>
              </w:rPr>
            </w:pPr>
            <w:r w:rsidRPr="00B76297">
              <w:rPr>
                <w:b/>
                <w:sz w:val="20"/>
                <w:szCs w:val="20"/>
              </w:rPr>
              <w:t>P</w:t>
            </w:r>
            <w:r>
              <w:rPr>
                <w:b/>
                <w:sz w:val="20"/>
                <w:szCs w:val="20"/>
              </w:rPr>
              <w:t xml:space="preserve">ercentage </w:t>
            </w:r>
            <w:r w:rsidRPr="00B76297">
              <w:rPr>
                <w:b/>
                <w:sz w:val="20"/>
                <w:szCs w:val="20"/>
              </w:rPr>
              <w:t>(%)</w:t>
            </w:r>
          </w:p>
        </w:tc>
      </w:tr>
      <w:tr w:rsidR="00B76297" w:rsidRPr="00B76297" w14:paraId="5DC3D4E6" w14:textId="77777777" w:rsidTr="00055689">
        <w:tc>
          <w:tcPr>
            <w:tcW w:w="2005" w:type="dxa"/>
            <w:vMerge w:val="restart"/>
            <w:tcBorders>
              <w:top w:val="single" w:sz="4" w:space="0" w:color="auto"/>
            </w:tcBorders>
            <w:shd w:val="clear" w:color="auto" w:fill="auto"/>
          </w:tcPr>
          <w:p w14:paraId="1A320D9A" w14:textId="42267862" w:rsidR="00B76297" w:rsidRPr="00B76297" w:rsidRDefault="00850B91" w:rsidP="007974F5">
            <w:pPr>
              <w:jc w:val="center"/>
              <w:rPr>
                <w:b/>
                <w:sz w:val="20"/>
                <w:szCs w:val="20"/>
              </w:rPr>
            </w:pPr>
            <w:r>
              <w:rPr>
                <w:b/>
                <w:sz w:val="20"/>
                <w:szCs w:val="20"/>
              </w:rPr>
              <w:t>Appraisal Support</w:t>
            </w:r>
          </w:p>
        </w:tc>
        <w:tc>
          <w:tcPr>
            <w:tcW w:w="1937" w:type="dxa"/>
            <w:tcBorders>
              <w:top w:val="single" w:sz="4" w:space="0" w:color="auto"/>
            </w:tcBorders>
            <w:shd w:val="clear" w:color="auto" w:fill="auto"/>
          </w:tcPr>
          <w:p w14:paraId="0D4088F7" w14:textId="46FD9501" w:rsidR="00B76297" w:rsidRPr="00B76297" w:rsidRDefault="00850B91" w:rsidP="007974F5">
            <w:pPr>
              <w:jc w:val="center"/>
              <w:rPr>
                <w:bCs/>
                <w:sz w:val="20"/>
                <w:szCs w:val="20"/>
              </w:rPr>
            </w:pPr>
            <w:r>
              <w:rPr>
                <w:bCs/>
                <w:sz w:val="20"/>
                <w:szCs w:val="20"/>
              </w:rPr>
              <w:t>High</w:t>
            </w:r>
          </w:p>
        </w:tc>
        <w:tc>
          <w:tcPr>
            <w:tcW w:w="1956" w:type="dxa"/>
            <w:tcBorders>
              <w:top w:val="single" w:sz="4" w:space="0" w:color="auto"/>
            </w:tcBorders>
            <w:shd w:val="clear" w:color="auto" w:fill="auto"/>
          </w:tcPr>
          <w:p w14:paraId="7FD33229" w14:textId="77777777" w:rsidR="00B76297" w:rsidRPr="00B76297" w:rsidRDefault="00B76297" w:rsidP="007974F5">
            <w:pPr>
              <w:jc w:val="center"/>
              <w:rPr>
                <w:bCs/>
                <w:sz w:val="20"/>
                <w:szCs w:val="20"/>
              </w:rPr>
            </w:pPr>
            <w:r w:rsidRPr="00B76297">
              <w:rPr>
                <w:bCs/>
                <w:sz w:val="20"/>
                <w:szCs w:val="20"/>
              </w:rPr>
              <w:t>38</w:t>
            </w:r>
          </w:p>
        </w:tc>
        <w:tc>
          <w:tcPr>
            <w:tcW w:w="2030" w:type="dxa"/>
            <w:tcBorders>
              <w:top w:val="single" w:sz="4" w:space="0" w:color="auto"/>
            </w:tcBorders>
            <w:shd w:val="clear" w:color="auto" w:fill="auto"/>
          </w:tcPr>
          <w:p w14:paraId="64384534" w14:textId="25AD8F86" w:rsidR="00B76297" w:rsidRPr="00B76297" w:rsidRDefault="00B76297" w:rsidP="007974F5">
            <w:pPr>
              <w:jc w:val="center"/>
              <w:rPr>
                <w:bCs/>
                <w:sz w:val="20"/>
                <w:szCs w:val="20"/>
              </w:rPr>
            </w:pPr>
            <w:r w:rsidRPr="00B76297">
              <w:rPr>
                <w:bCs/>
                <w:sz w:val="20"/>
                <w:szCs w:val="20"/>
              </w:rPr>
              <w:t>26</w:t>
            </w:r>
            <w:r w:rsidR="00850B91">
              <w:rPr>
                <w:bCs/>
                <w:sz w:val="20"/>
                <w:szCs w:val="20"/>
              </w:rPr>
              <w:t>.</w:t>
            </w:r>
            <w:r w:rsidRPr="00B76297">
              <w:rPr>
                <w:bCs/>
                <w:sz w:val="20"/>
                <w:szCs w:val="20"/>
              </w:rPr>
              <w:t>2</w:t>
            </w:r>
          </w:p>
        </w:tc>
      </w:tr>
      <w:tr w:rsidR="00B76297" w:rsidRPr="00B76297" w14:paraId="0B474049" w14:textId="77777777" w:rsidTr="00055689">
        <w:tc>
          <w:tcPr>
            <w:tcW w:w="2005" w:type="dxa"/>
            <w:vMerge/>
            <w:shd w:val="clear" w:color="auto" w:fill="auto"/>
          </w:tcPr>
          <w:p w14:paraId="3CCB62CE" w14:textId="77777777" w:rsidR="00B76297" w:rsidRPr="00B76297" w:rsidRDefault="00B76297" w:rsidP="007974F5">
            <w:pPr>
              <w:jc w:val="center"/>
              <w:rPr>
                <w:b/>
                <w:sz w:val="20"/>
                <w:szCs w:val="20"/>
              </w:rPr>
            </w:pPr>
          </w:p>
        </w:tc>
        <w:tc>
          <w:tcPr>
            <w:tcW w:w="1937" w:type="dxa"/>
            <w:shd w:val="clear" w:color="auto" w:fill="auto"/>
          </w:tcPr>
          <w:p w14:paraId="619A5E36" w14:textId="37182962" w:rsidR="00B76297" w:rsidRPr="00B76297" w:rsidRDefault="00850B91" w:rsidP="007974F5">
            <w:pPr>
              <w:jc w:val="center"/>
              <w:rPr>
                <w:bCs/>
                <w:sz w:val="20"/>
                <w:szCs w:val="20"/>
              </w:rPr>
            </w:pPr>
            <w:r>
              <w:rPr>
                <w:bCs/>
                <w:sz w:val="20"/>
                <w:szCs w:val="20"/>
              </w:rPr>
              <w:t>Low</w:t>
            </w:r>
          </w:p>
        </w:tc>
        <w:tc>
          <w:tcPr>
            <w:tcW w:w="1956" w:type="dxa"/>
            <w:shd w:val="clear" w:color="auto" w:fill="auto"/>
          </w:tcPr>
          <w:p w14:paraId="7A1D349A" w14:textId="77777777" w:rsidR="00B76297" w:rsidRPr="00B76297" w:rsidRDefault="00B76297" w:rsidP="007974F5">
            <w:pPr>
              <w:jc w:val="center"/>
              <w:rPr>
                <w:bCs/>
                <w:sz w:val="20"/>
                <w:szCs w:val="20"/>
              </w:rPr>
            </w:pPr>
            <w:r w:rsidRPr="00B76297">
              <w:rPr>
                <w:bCs/>
                <w:sz w:val="20"/>
                <w:szCs w:val="20"/>
              </w:rPr>
              <w:t>107</w:t>
            </w:r>
          </w:p>
        </w:tc>
        <w:tc>
          <w:tcPr>
            <w:tcW w:w="2030" w:type="dxa"/>
            <w:shd w:val="clear" w:color="auto" w:fill="auto"/>
          </w:tcPr>
          <w:p w14:paraId="4D77E2DE" w14:textId="411B6A4F" w:rsidR="00B76297" w:rsidRPr="00B76297" w:rsidRDefault="00B76297" w:rsidP="007974F5">
            <w:pPr>
              <w:jc w:val="center"/>
              <w:rPr>
                <w:bCs/>
                <w:sz w:val="20"/>
                <w:szCs w:val="20"/>
              </w:rPr>
            </w:pPr>
            <w:r w:rsidRPr="00B76297">
              <w:rPr>
                <w:bCs/>
                <w:sz w:val="20"/>
                <w:szCs w:val="20"/>
              </w:rPr>
              <w:t>73</w:t>
            </w:r>
            <w:r w:rsidR="00850B91">
              <w:rPr>
                <w:bCs/>
                <w:sz w:val="20"/>
                <w:szCs w:val="20"/>
              </w:rPr>
              <w:t>.</w:t>
            </w:r>
            <w:r w:rsidRPr="00B76297">
              <w:rPr>
                <w:bCs/>
                <w:sz w:val="20"/>
                <w:szCs w:val="20"/>
              </w:rPr>
              <w:t>8</w:t>
            </w:r>
          </w:p>
        </w:tc>
      </w:tr>
      <w:tr w:rsidR="00B76297" w:rsidRPr="00B76297" w14:paraId="27483B13" w14:textId="77777777" w:rsidTr="00055689">
        <w:tc>
          <w:tcPr>
            <w:tcW w:w="2005" w:type="dxa"/>
            <w:vMerge/>
            <w:tcBorders>
              <w:bottom w:val="single" w:sz="4" w:space="0" w:color="auto"/>
            </w:tcBorders>
            <w:shd w:val="clear" w:color="auto" w:fill="auto"/>
          </w:tcPr>
          <w:p w14:paraId="4779D7A2" w14:textId="77777777" w:rsidR="00B76297" w:rsidRPr="00B76297" w:rsidRDefault="00B76297" w:rsidP="007974F5">
            <w:pPr>
              <w:jc w:val="center"/>
              <w:rPr>
                <w:b/>
                <w:sz w:val="20"/>
                <w:szCs w:val="20"/>
              </w:rPr>
            </w:pPr>
          </w:p>
        </w:tc>
        <w:tc>
          <w:tcPr>
            <w:tcW w:w="1937" w:type="dxa"/>
            <w:tcBorders>
              <w:bottom w:val="single" w:sz="4" w:space="0" w:color="auto"/>
            </w:tcBorders>
            <w:shd w:val="clear" w:color="auto" w:fill="auto"/>
          </w:tcPr>
          <w:p w14:paraId="285234A6" w14:textId="77777777" w:rsidR="00B76297" w:rsidRPr="00B76297" w:rsidRDefault="00B76297" w:rsidP="007974F5">
            <w:pPr>
              <w:jc w:val="center"/>
              <w:rPr>
                <w:b/>
                <w:sz w:val="20"/>
                <w:szCs w:val="20"/>
              </w:rPr>
            </w:pPr>
            <w:r w:rsidRPr="00B76297">
              <w:rPr>
                <w:b/>
                <w:sz w:val="20"/>
                <w:szCs w:val="20"/>
              </w:rPr>
              <w:t>Total</w:t>
            </w:r>
          </w:p>
        </w:tc>
        <w:tc>
          <w:tcPr>
            <w:tcW w:w="1956" w:type="dxa"/>
            <w:tcBorders>
              <w:bottom w:val="single" w:sz="4" w:space="0" w:color="auto"/>
            </w:tcBorders>
            <w:shd w:val="clear" w:color="auto" w:fill="auto"/>
          </w:tcPr>
          <w:p w14:paraId="74BA9320" w14:textId="77777777" w:rsidR="00B76297" w:rsidRPr="00B76297" w:rsidRDefault="00B76297" w:rsidP="007974F5">
            <w:pPr>
              <w:jc w:val="center"/>
              <w:rPr>
                <w:b/>
                <w:sz w:val="20"/>
                <w:szCs w:val="20"/>
              </w:rPr>
            </w:pPr>
            <w:r w:rsidRPr="00B76297">
              <w:rPr>
                <w:b/>
                <w:sz w:val="20"/>
                <w:szCs w:val="20"/>
              </w:rPr>
              <w:t>145</w:t>
            </w:r>
          </w:p>
        </w:tc>
        <w:tc>
          <w:tcPr>
            <w:tcW w:w="2030" w:type="dxa"/>
            <w:tcBorders>
              <w:bottom w:val="single" w:sz="4" w:space="0" w:color="auto"/>
            </w:tcBorders>
            <w:shd w:val="clear" w:color="auto" w:fill="auto"/>
          </w:tcPr>
          <w:p w14:paraId="34AB3620" w14:textId="77777777" w:rsidR="00B76297" w:rsidRPr="00B76297" w:rsidRDefault="00B76297" w:rsidP="007974F5">
            <w:pPr>
              <w:jc w:val="center"/>
              <w:rPr>
                <w:b/>
                <w:sz w:val="20"/>
                <w:szCs w:val="20"/>
              </w:rPr>
            </w:pPr>
            <w:r w:rsidRPr="00B76297">
              <w:rPr>
                <w:b/>
                <w:sz w:val="20"/>
                <w:szCs w:val="20"/>
              </w:rPr>
              <w:t>100</w:t>
            </w:r>
          </w:p>
        </w:tc>
      </w:tr>
    </w:tbl>
    <w:p w14:paraId="65052525" w14:textId="7342051B" w:rsidR="00B76297" w:rsidRDefault="00B76297" w:rsidP="00B8229D">
      <w:pPr>
        <w:widowControl w:val="0"/>
        <w:autoSpaceDE w:val="0"/>
        <w:autoSpaceDN w:val="0"/>
        <w:adjustRightInd w:val="0"/>
        <w:ind w:firstLine="567"/>
        <w:jc w:val="both"/>
        <w:rPr>
          <w:sz w:val="20"/>
          <w:szCs w:val="20"/>
        </w:rPr>
      </w:pPr>
    </w:p>
    <w:p w14:paraId="31F1494C" w14:textId="77777777" w:rsidR="00850B91" w:rsidRDefault="00850B91" w:rsidP="00B8229D">
      <w:pPr>
        <w:widowControl w:val="0"/>
        <w:autoSpaceDE w:val="0"/>
        <w:autoSpaceDN w:val="0"/>
        <w:adjustRightInd w:val="0"/>
        <w:ind w:firstLine="567"/>
        <w:jc w:val="both"/>
        <w:rPr>
          <w:sz w:val="20"/>
          <w:szCs w:val="20"/>
        </w:rPr>
      </w:pPr>
      <w:r w:rsidRPr="00850B91">
        <w:rPr>
          <w:sz w:val="20"/>
          <w:szCs w:val="20"/>
        </w:rPr>
        <w:lastRenderedPageBreak/>
        <w:t xml:space="preserve">Based on Table 1, the level of instrumental support for smoking/vaping behavior 145 respondents was as follows: 39 respondents (26.9%) had high instrumental support and 106 respondents (73.1%) had low instrumental support for smoking / vaping behavior. </w:t>
      </w:r>
    </w:p>
    <w:p w14:paraId="5B885080" w14:textId="77777777" w:rsidR="00850B91" w:rsidRDefault="00850B91" w:rsidP="00B8229D">
      <w:pPr>
        <w:widowControl w:val="0"/>
        <w:autoSpaceDE w:val="0"/>
        <w:autoSpaceDN w:val="0"/>
        <w:adjustRightInd w:val="0"/>
        <w:ind w:firstLine="567"/>
        <w:jc w:val="both"/>
        <w:rPr>
          <w:sz w:val="20"/>
          <w:szCs w:val="20"/>
        </w:rPr>
      </w:pPr>
      <w:r w:rsidRPr="00850B91">
        <w:rPr>
          <w:sz w:val="20"/>
          <w:szCs w:val="20"/>
        </w:rPr>
        <w:t xml:space="preserve">The level of informational support for smoking/vaping behavior 145 respondents was as follows: 26 respondents (17.9%) had high information support and 119 respondents (82.1%) had low information support for smoking / vaping behavior. </w:t>
      </w:r>
    </w:p>
    <w:p w14:paraId="2F97C6E1" w14:textId="77777777" w:rsidR="008068C9" w:rsidRDefault="00850B91" w:rsidP="00B8229D">
      <w:pPr>
        <w:widowControl w:val="0"/>
        <w:autoSpaceDE w:val="0"/>
        <w:autoSpaceDN w:val="0"/>
        <w:adjustRightInd w:val="0"/>
        <w:ind w:firstLine="567"/>
        <w:jc w:val="both"/>
        <w:rPr>
          <w:sz w:val="20"/>
          <w:szCs w:val="20"/>
        </w:rPr>
      </w:pPr>
      <w:r w:rsidRPr="00850B91">
        <w:rPr>
          <w:sz w:val="20"/>
          <w:szCs w:val="20"/>
        </w:rPr>
        <w:t xml:space="preserve">The level of emotional support for smoking / vaping behavior 145 respondents was as follows: 45 respondents (31%) had high emotional support and 100 respondents (69%) had low emotional support for smoking/vaping behavior. </w:t>
      </w:r>
    </w:p>
    <w:p w14:paraId="46CAC5C8" w14:textId="3C193F22" w:rsidR="00850B91" w:rsidRDefault="00850B91" w:rsidP="00B8229D">
      <w:pPr>
        <w:widowControl w:val="0"/>
        <w:autoSpaceDE w:val="0"/>
        <w:autoSpaceDN w:val="0"/>
        <w:adjustRightInd w:val="0"/>
        <w:ind w:firstLine="567"/>
        <w:jc w:val="both"/>
        <w:rPr>
          <w:sz w:val="20"/>
          <w:szCs w:val="20"/>
        </w:rPr>
      </w:pPr>
      <w:r w:rsidRPr="00850B91">
        <w:rPr>
          <w:sz w:val="20"/>
          <w:szCs w:val="20"/>
        </w:rPr>
        <w:t>The level of appraisal support for smoking / vaping behavior 145 respondents was as follows: 38 respondents (26.2%) had high appraisal support and 107 respondents (73.8%) had low appraisal support for smoking/vaping behavior.</w:t>
      </w:r>
    </w:p>
    <w:p w14:paraId="67DC8EC3" w14:textId="6CB5832C" w:rsidR="00B76297" w:rsidRDefault="00B76297" w:rsidP="00B8229D">
      <w:pPr>
        <w:widowControl w:val="0"/>
        <w:autoSpaceDE w:val="0"/>
        <w:autoSpaceDN w:val="0"/>
        <w:adjustRightInd w:val="0"/>
        <w:ind w:firstLine="567"/>
        <w:jc w:val="both"/>
        <w:rPr>
          <w:sz w:val="20"/>
          <w:szCs w:val="20"/>
        </w:rPr>
      </w:pPr>
    </w:p>
    <w:p w14:paraId="0A761C3C" w14:textId="487D28BF" w:rsidR="008068C9" w:rsidRPr="008068C9" w:rsidRDefault="008068C9" w:rsidP="008068C9">
      <w:pPr>
        <w:widowControl w:val="0"/>
        <w:autoSpaceDE w:val="0"/>
        <w:autoSpaceDN w:val="0"/>
        <w:adjustRightInd w:val="0"/>
        <w:jc w:val="both"/>
        <w:rPr>
          <w:b/>
          <w:bCs/>
          <w:sz w:val="20"/>
          <w:szCs w:val="20"/>
        </w:rPr>
      </w:pPr>
      <w:r>
        <w:rPr>
          <w:b/>
          <w:bCs/>
          <w:sz w:val="20"/>
          <w:szCs w:val="20"/>
        </w:rPr>
        <w:t xml:space="preserve">Table 2. </w:t>
      </w:r>
      <w:r w:rsidRPr="00496275">
        <w:rPr>
          <w:bCs/>
          <w:sz w:val="20"/>
          <w:szCs w:val="20"/>
        </w:rPr>
        <w:t>Frequency Distribution of Respondents’ Smoking / Vaping Behavior</w:t>
      </w:r>
    </w:p>
    <w:tbl>
      <w:tblPr>
        <w:tblW w:w="0" w:type="auto"/>
        <w:tblInd w:w="5" w:type="dxa"/>
        <w:tblCellMar>
          <w:left w:w="0" w:type="dxa"/>
          <w:right w:w="0" w:type="dxa"/>
        </w:tblCellMar>
        <w:tblLook w:val="04A0" w:firstRow="1" w:lastRow="0" w:firstColumn="1" w:lastColumn="0" w:noHBand="0" w:noVBand="1"/>
      </w:tblPr>
      <w:tblGrid>
        <w:gridCol w:w="2829"/>
        <w:gridCol w:w="2829"/>
        <w:gridCol w:w="2829"/>
      </w:tblGrid>
      <w:tr w:rsidR="008068C9" w:rsidRPr="008068C9" w14:paraId="10C91794" w14:textId="77777777" w:rsidTr="00055689">
        <w:tc>
          <w:tcPr>
            <w:tcW w:w="2829" w:type="dxa"/>
            <w:tcBorders>
              <w:top w:val="single" w:sz="4" w:space="0" w:color="auto"/>
              <w:bottom w:val="single" w:sz="4" w:space="0" w:color="auto"/>
            </w:tcBorders>
            <w:shd w:val="clear" w:color="auto" w:fill="auto"/>
          </w:tcPr>
          <w:p w14:paraId="314358B5" w14:textId="2B82FD7A" w:rsidR="008068C9" w:rsidRPr="008068C9" w:rsidRDefault="008068C9" w:rsidP="00055689">
            <w:pPr>
              <w:jc w:val="center"/>
              <w:rPr>
                <w:b/>
                <w:sz w:val="20"/>
                <w:szCs w:val="20"/>
              </w:rPr>
            </w:pPr>
            <w:r>
              <w:rPr>
                <w:b/>
                <w:sz w:val="20"/>
                <w:szCs w:val="20"/>
              </w:rPr>
              <w:t xml:space="preserve">Smoking </w:t>
            </w:r>
            <w:r w:rsidRPr="008068C9">
              <w:rPr>
                <w:b/>
                <w:sz w:val="20"/>
                <w:szCs w:val="20"/>
              </w:rPr>
              <w:t>/</w:t>
            </w:r>
            <w:r>
              <w:rPr>
                <w:b/>
                <w:sz w:val="20"/>
                <w:szCs w:val="20"/>
              </w:rPr>
              <w:t xml:space="preserve"> </w:t>
            </w:r>
            <w:r w:rsidRPr="008068C9">
              <w:rPr>
                <w:b/>
                <w:i/>
                <w:iCs/>
                <w:sz w:val="20"/>
                <w:szCs w:val="20"/>
              </w:rPr>
              <w:t>Vaping</w:t>
            </w:r>
            <w:r>
              <w:rPr>
                <w:b/>
                <w:i/>
                <w:iCs/>
                <w:sz w:val="20"/>
                <w:szCs w:val="20"/>
              </w:rPr>
              <w:t xml:space="preserve"> </w:t>
            </w:r>
            <w:r w:rsidRPr="008068C9">
              <w:rPr>
                <w:b/>
                <w:sz w:val="20"/>
                <w:szCs w:val="20"/>
              </w:rPr>
              <w:t>Behavior</w:t>
            </w:r>
          </w:p>
        </w:tc>
        <w:tc>
          <w:tcPr>
            <w:tcW w:w="2829" w:type="dxa"/>
            <w:tcBorders>
              <w:top w:val="single" w:sz="4" w:space="0" w:color="auto"/>
              <w:bottom w:val="single" w:sz="4" w:space="0" w:color="auto"/>
            </w:tcBorders>
            <w:shd w:val="clear" w:color="auto" w:fill="auto"/>
          </w:tcPr>
          <w:p w14:paraId="7FAED4D2" w14:textId="6F9F2598" w:rsidR="008068C9" w:rsidRPr="008068C9" w:rsidRDefault="008068C9" w:rsidP="00055689">
            <w:pPr>
              <w:jc w:val="center"/>
              <w:rPr>
                <w:b/>
                <w:sz w:val="20"/>
                <w:szCs w:val="20"/>
              </w:rPr>
            </w:pPr>
            <w:r w:rsidRPr="008068C9">
              <w:rPr>
                <w:b/>
                <w:sz w:val="20"/>
                <w:szCs w:val="20"/>
              </w:rPr>
              <w:t>Fre</w:t>
            </w:r>
            <w:r>
              <w:rPr>
                <w:b/>
                <w:sz w:val="20"/>
                <w:szCs w:val="20"/>
              </w:rPr>
              <w:t>quency</w:t>
            </w:r>
          </w:p>
        </w:tc>
        <w:tc>
          <w:tcPr>
            <w:tcW w:w="2829" w:type="dxa"/>
            <w:tcBorders>
              <w:top w:val="single" w:sz="4" w:space="0" w:color="auto"/>
              <w:bottom w:val="single" w:sz="4" w:space="0" w:color="auto"/>
            </w:tcBorders>
            <w:shd w:val="clear" w:color="auto" w:fill="auto"/>
          </w:tcPr>
          <w:p w14:paraId="71276E8D" w14:textId="5B42FA60" w:rsidR="008068C9" w:rsidRPr="008068C9" w:rsidRDefault="008068C9" w:rsidP="00055689">
            <w:pPr>
              <w:jc w:val="center"/>
              <w:rPr>
                <w:b/>
                <w:sz w:val="20"/>
                <w:szCs w:val="20"/>
              </w:rPr>
            </w:pPr>
            <w:r w:rsidRPr="008068C9">
              <w:rPr>
                <w:b/>
                <w:sz w:val="20"/>
                <w:szCs w:val="20"/>
              </w:rPr>
              <w:t>Per</w:t>
            </w:r>
            <w:r>
              <w:rPr>
                <w:b/>
                <w:sz w:val="20"/>
                <w:szCs w:val="20"/>
              </w:rPr>
              <w:t>centage (</w:t>
            </w:r>
            <w:r w:rsidRPr="008068C9">
              <w:rPr>
                <w:b/>
                <w:sz w:val="20"/>
                <w:szCs w:val="20"/>
              </w:rPr>
              <w:t>%)</w:t>
            </w:r>
          </w:p>
        </w:tc>
      </w:tr>
      <w:tr w:rsidR="008068C9" w:rsidRPr="008068C9" w14:paraId="299B48B4" w14:textId="77777777" w:rsidTr="00055689">
        <w:tc>
          <w:tcPr>
            <w:tcW w:w="2829" w:type="dxa"/>
            <w:tcBorders>
              <w:top w:val="single" w:sz="4" w:space="0" w:color="auto"/>
            </w:tcBorders>
            <w:shd w:val="clear" w:color="auto" w:fill="auto"/>
          </w:tcPr>
          <w:p w14:paraId="0D9A4217" w14:textId="51548BC0" w:rsidR="008068C9" w:rsidRPr="008068C9" w:rsidRDefault="008068C9" w:rsidP="00055689">
            <w:pPr>
              <w:jc w:val="center"/>
              <w:rPr>
                <w:bCs/>
                <w:sz w:val="20"/>
                <w:szCs w:val="20"/>
              </w:rPr>
            </w:pPr>
            <w:r w:rsidRPr="008068C9">
              <w:rPr>
                <w:bCs/>
                <w:sz w:val="20"/>
                <w:szCs w:val="20"/>
              </w:rPr>
              <w:t>Y</w:t>
            </w:r>
            <w:r>
              <w:rPr>
                <w:bCs/>
                <w:sz w:val="20"/>
                <w:szCs w:val="20"/>
              </w:rPr>
              <w:t>es</w:t>
            </w:r>
          </w:p>
        </w:tc>
        <w:tc>
          <w:tcPr>
            <w:tcW w:w="2829" w:type="dxa"/>
            <w:tcBorders>
              <w:top w:val="single" w:sz="4" w:space="0" w:color="auto"/>
            </w:tcBorders>
            <w:shd w:val="clear" w:color="auto" w:fill="auto"/>
          </w:tcPr>
          <w:p w14:paraId="71E61E1B" w14:textId="77777777" w:rsidR="008068C9" w:rsidRPr="008068C9" w:rsidRDefault="008068C9" w:rsidP="00055689">
            <w:pPr>
              <w:jc w:val="center"/>
              <w:rPr>
                <w:bCs/>
                <w:sz w:val="20"/>
                <w:szCs w:val="20"/>
              </w:rPr>
            </w:pPr>
            <w:r w:rsidRPr="008068C9">
              <w:rPr>
                <w:bCs/>
                <w:sz w:val="20"/>
                <w:szCs w:val="20"/>
              </w:rPr>
              <w:t>47</w:t>
            </w:r>
          </w:p>
        </w:tc>
        <w:tc>
          <w:tcPr>
            <w:tcW w:w="2829" w:type="dxa"/>
            <w:tcBorders>
              <w:top w:val="single" w:sz="4" w:space="0" w:color="auto"/>
            </w:tcBorders>
            <w:shd w:val="clear" w:color="auto" w:fill="auto"/>
          </w:tcPr>
          <w:p w14:paraId="241DE307" w14:textId="4E8F8096" w:rsidR="008068C9" w:rsidRPr="008068C9" w:rsidRDefault="008068C9" w:rsidP="00055689">
            <w:pPr>
              <w:jc w:val="center"/>
              <w:rPr>
                <w:bCs/>
                <w:sz w:val="20"/>
                <w:szCs w:val="20"/>
              </w:rPr>
            </w:pPr>
            <w:r w:rsidRPr="008068C9">
              <w:rPr>
                <w:bCs/>
                <w:sz w:val="20"/>
                <w:szCs w:val="20"/>
              </w:rPr>
              <w:t>32</w:t>
            </w:r>
            <w:r>
              <w:rPr>
                <w:bCs/>
                <w:sz w:val="20"/>
                <w:szCs w:val="20"/>
              </w:rPr>
              <w:t>.</w:t>
            </w:r>
            <w:r w:rsidRPr="008068C9">
              <w:rPr>
                <w:bCs/>
                <w:sz w:val="20"/>
                <w:szCs w:val="20"/>
              </w:rPr>
              <w:t>4</w:t>
            </w:r>
          </w:p>
        </w:tc>
      </w:tr>
      <w:tr w:rsidR="008068C9" w:rsidRPr="008068C9" w14:paraId="0295C7DE" w14:textId="77777777" w:rsidTr="00055689">
        <w:tc>
          <w:tcPr>
            <w:tcW w:w="2829" w:type="dxa"/>
            <w:tcBorders>
              <w:bottom w:val="single" w:sz="4" w:space="0" w:color="auto"/>
            </w:tcBorders>
            <w:shd w:val="clear" w:color="auto" w:fill="auto"/>
          </w:tcPr>
          <w:p w14:paraId="4540EDF8" w14:textId="397A5884" w:rsidR="008068C9" w:rsidRPr="008068C9" w:rsidRDefault="008068C9" w:rsidP="00055689">
            <w:pPr>
              <w:jc w:val="center"/>
              <w:rPr>
                <w:bCs/>
                <w:sz w:val="20"/>
                <w:szCs w:val="20"/>
              </w:rPr>
            </w:pPr>
            <w:r>
              <w:rPr>
                <w:bCs/>
                <w:sz w:val="20"/>
                <w:szCs w:val="20"/>
              </w:rPr>
              <w:t>No</w:t>
            </w:r>
          </w:p>
        </w:tc>
        <w:tc>
          <w:tcPr>
            <w:tcW w:w="2829" w:type="dxa"/>
            <w:tcBorders>
              <w:bottom w:val="single" w:sz="4" w:space="0" w:color="auto"/>
            </w:tcBorders>
            <w:shd w:val="clear" w:color="auto" w:fill="auto"/>
          </w:tcPr>
          <w:p w14:paraId="66F60EFE" w14:textId="77777777" w:rsidR="008068C9" w:rsidRPr="008068C9" w:rsidRDefault="008068C9" w:rsidP="00055689">
            <w:pPr>
              <w:jc w:val="center"/>
              <w:rPr>
                <w:bCs/>
                <w:sz w:val="20"/>
                <w:szCs w:val="20"/>
              </w:rPr>
            </w:pPr>
            <w:r w:rsidRPr="008068C9">
              <w:rPr>
                <w:bCs/>
                <w:sz w:val="20"/>
                <w:szCs w:val="20"/>
              </w:rPr>
              <w:t>98</w:t>
            </w:r>
          </w:p>
        </w:tc>
        <w:tc>
          <w:tcPr>
            <w:tcW w:w="2829" w:type="dxa"/>
            <w:tcBorders>
              <w:bottom w:val="single" w:sz="4" w:space="0" w:color="auto"/>
            </w:tcBorders>
            <w:shd w:val="clear" w:color="auto" w:fill="auto"/>
          </w:tcPr>
          <w:p w14:paraId="08AA268E" w14:textId="56CEC453" w:rsidR="008068C9" w:rsidRPr="008068C9" w:rsidRDefault="008068C9" w:rsidP="00055689">
            <w:pPr>
              <w:jc w:val="center"/>
              <w:rPr>
                <w:bCs/>
                <w:sz w:val="20"/>
                <w:szCs w:val="20"/>
              </w:rPr>
            </w:pPr>
            <w:r w:rsidRPr="008068C9">
              <w:rPr>
                <w:bCs/>
                <w:sz w:val="20"/>
                <w:szCs w:val="20"/>
              </w:rPr>
              <w:t>67</w:t>
            </w:r>
            <w:r>
              <w:rPr>
                <w:bCs/>
                <w:sz w:val="20"/>
                <w:szCs w:val="20"/>
              </w:rPr>
              <w:t>.</w:t>
            </w:r>
            <w:r w:rsidRPr="008068C9">
              <w:rPr>
                <w:bCs/>
                <w:sz w:val="20"/>
                <w:szCs w:val="20"/>
              </w:rPr>
              <w:t>6</w:t>
            </w:r>
          </w:p>
        </w:tc>
      </w:tr>
      <w:tr w:rsidR="008068C9" w:rsidRPr="008068C9" w14:paraId="43E7E727" w14:textId="77777777" w:rsidTr="00055689">
        <w:tc>
          <w:tcPr>
            <w:tcW w:w="2829" w:type="dxa"/>
            <w:tcBorders>
              <w:top w:val="single" w:sz="4" w:space="0" w:color="auto"/>
              <w:bottom w:val="single" w:sz="4" w:space="0" w:color="auto"/>
            </w:tcBorders>
            <w:shd w:val="clear" w:color="auto" w:fill="auto"/>
          </w:tcPr>
          <w:p w14:paraId="47213E8E" w14:textId="77777777" w:rsidR="008068C9" w:rsidRPr="008068C9" w:rsidRDefault="008068C9" w:rsidP="00055689">
            <w:pPr>
              <w:jc w:val="center"/>
              <w:rPr>
                <w:b/>
                <w:sz w:val="20"/>
                <w:szCs w:val="20"/>
              </w:rPr>
            </w:pPr>
            <w:r w:rsidRPr="008068C9">
              <w:rPr>
                <w:b/>
                <w:sz w:val="20"/>
                <w:szCs w:val="20"/>
              </w:rPr>
              <w:t>Total</w:t>
            </w:r>
          </w:p>
        </w:tc>
        <w:tc>
          <w:tcPr>
            <w:tcW w:w="2829" w:type="dxa"/>
            <w:tcBorders>
              <w:top w:val="single" w:sz="4" w:space="0" w:color="auto"/>
              <w:bottom w:val="single" w:sz="4" w:space="0" w:color="auto"/>
            </w:tcBorders>
            <w:shd w:val="clear" w:color="auto" w:fill="auto"/>
          </w:tcPr>
          <w:p w14:paraId="61699C30" w14:textId="77777777" w:rsidR="008068C9" w:rsidRPr="008068C9" w:rsidRDefault="008068C9" w:rsidP="00055689">
            <w:pPr>
              <w:jc w:val="center"/>
              <w:rPr>
                <w:b/>
                <w:sz w:val="20"/>
                <w:szCs w:val="20"/>
              </w:rPr>
            </w:pPr>
            <w:r w:rsidRPr="008068C9">
              <w:rPr>
                <w:b/>
                <w:sz w:val="20"/>
                <w:szCs w:val="20"/>
              </w:rPr>
              <w:t>145</w:t>
            </w:r>
          </w:p>
        </w:tc>
        <w:tc>
          <w:tcPr>
            <w:tcW w:w="2829" w:type="dxa"/>
            <w:tcBorders>
              <w:top w:val="single" w:sz="4" w:space="0" w:color="auto"/>
              <w:bottom w:val="single" w:sz="4" w:space="0" w:color="auto"/>
            </w:tcBorders>
            <w:shd w:val="clear" w:color="auto" w:fill="auto"/>
          </w:tcPr>
          <w:p w14:paraId="2B99BCAC" w14:textId="77777777" w:rsidR="008068C9" w:rsidRPr="008068C9" w:rsidRDefault="008068C9" w:rsidP="00055689">
            <w:pPr>
              <w:jc w:val="center"/>
              <w:rPr>
                <w:b/>
                <w:sz w:val="20"/>
                <w:szCs w:val="20"/>
              </w:rPr>
            </w:pPr>
            <w:r w:rsidRPr="008068C9">
              <w:rPr>
                <w:b/>
                <w:sz w:val="20"/>
                <w:szCs w:val="20"/>
              </w:rPr>
              <w:t>100</w:t>
            </w:r>
          </w:p>
        </w:tc>
      </w:tr>
    </w:tbl>
    <w:p w14:paraId="0C5BFE88" w14:textId="77777777" w:rsidR="00B76297" w:rsidRDefault="00B76297" w:rsidP="008068C9">
      <w:pPr>
        <w:widowControl w:val="0"/>
        <w:autoSpaceDE w:val="0"/>
        <w:autoSpaceDN w:val="0"/>
        <w:adjustRightInd w:val="0"/>
        <w:jc w:val="both"/>
        <w:rPr>
          <w:sz w:val="20"/>
          <w:szCs w:val="20"/>
        </w:rPr>
      </w:pPr>
    </w:p>
    <w:p w14:paraId="004A3D83" w14:textId="2104D51E" w:rsidR="00B76297" w:rsidRDefault="008068C9" w:rsidP="00B8229D">
      <w:pPr>
        <w:widowControl w:val="0"/>
        <w:autoSpaceDE w:val="0"/>
        <w:autoSpaceDN w:val="0"/>
        <w:adjustRightInd w:val="0"/>
        <w:ind w:firstLine="567"/>
        <w:jc w:val="both"/>
        <w:rPr>
          <w:sz w:val="20"/>
          <w:szCs w:val="20"/>
        </w:rPr>
      </w:pPr>
      <w:r w:rsidRPr="008068C9">
        <w:rPr>
          <w:sz w:val="20"/>
          <w:szCs w:val="20"/>
        </w:rPr>
        <w:t>According to Table 2, 47 respondents (32.4%) had smoking / vaping behavior and 98 respondents (67.6%) did not have smoking behavior out of 145 respondents.</w:t>
      </w:r>
    </w:p>
    <w:p w14:paraId="193B6092" w14:textId="77777777" w:rsidR="008068C9" w:rsidRDefault="008068C9" w:rsidP="00B8229D">
      <w:pPr>
        <w:widowControl w:val="0"/>
        <w:autoSpaceDE w:val="0"/>
        <w:autoSpaceDN w:val="0"/>
        <w:adjustRightInd w:val="0"/>
        <w:ind w:firstLine="567"/>
        <w:jc w:val="both"/>
        <w:rPr>
          <w:sz w:val="20"/>
          <w:szCs w:val="20"/>
        </w:rPr>
      </w:pPr>
    </w:p>
    <w:p w14:paraId="2837DFAC" w14:textId="3FA1EE00" w:rsidR="008068C9" w:rsidRPr="008068C9" w:rsidRDefault="008068C9" w:rsidP="008068C9">
      <w:pPr>
        <w:widowControl w:val="0"/>
        <w:autoSpaceDE w:val="0"/>
        <w:autoSpaceDN w:val="0"/>
        <w:adjustRightInd w:val="0"/>
        <w:jc w:val="both"/>
        <w:rPr>
          <w:b/>
          <w:bCs/>
          <w:sz w:val="20"/>
          <w:szCs w:val="20"/>
        </w:rPr>
      </w:pPr>
      <w:r>
        <w:rPr>
          <w:b/>
          <w:bCs/>
          <w:sz w:val="20"/>
          <w:szCs w:val="20"/>
        </w:rPr>
        <w:t xml:space="preserve">Table 3. Frequency Distribution of Respondents’ </w:t>
      </w:r>
      <w:r w:rsidR="00112ED0">
        <w:rPr>
          <w:b/>
          <w:bCs/>
          <w:sz w:val="20"/>
          <w:szCs w:val="20"/>
        </w:rPr>
        <w:t>Smoked Cigarette Type</w:t>
      </w:r>
    </w:p>
    <w:tbl>
      <w:tblPr>
        <w:tblW w:w="0" w:type="auto"/>
        <w:tblInd w:w="5" w:type="dxa"/>
        <w:tblCellMar>
          <w:left w:w="0" w:type="dxa"/>
          <w:right w:w="0" w:type="dxa"/>
        </w:tblCellMar>
        <w:tblLook w:val="04A0" w:firstRow="1" w:lastRow="0" w:firstColumn="1" w:lastColumn="0" w:noHBand="0" w:noVBand="1"/>
      </w:tblPr>
      <w:tblGrid>
        <w:gridCol w:w="2829"/>
        <w:gridCol w:w="2829"/>
        <w:gridCol w:w="2829"/>
      </w:tblGrid>
      <w:tr w:rsidR="008068C9" w:rsidRPr="008068C9" w14:paraId="2CC6D4D7" w14:textId="77777777" w:rsidTr="00055689">
        <w:tc>
          <w:tcPr>
            <w:tcW w:w="2829" w:type="dxa"/>
            <w:tcBorders>
              <w:top w:val="single" w:sz="4" w:space="0" w:color="auto"/>
              <w:bottom w:val="single" w:sz="4" w:space="0" w:color="auto"/>
            </w:tcBorders>
            <w:shd w:val="clear" w:color="auto" w:fill="auto"/>
          </w:tcPr>
          <w:p w14:paraId="30D1C4AC" w14:textId="7941C44C" w:rsidR="008068C9" w:rsidRPr="008068C9" w:rsidRDefault="00112ED0" w:rsidP="00055689">
            <w:pPr>
              <w:jc w:val="center"/>
              <w:rPr>
                <w:b/>
                <w:sz w:val="20"/>
                <w:szCs w:val="20"/>
              </w:rPr>
            </w:pPr>
            <w:r>
              <w:rPr>
                <w:b/>
                <w:sz w:val="20"/>
                <w:szCs w:val="20"/>
              </w:rPr>
              <w:t>Smoked Cigarette Type</w:t>
            </w:r>
          </w:p>
        </w:tc>
        <w:tc>
          <w:tcPr>
            <w:tcW w:w="2829" w:type="dxa"/>
            <w:tcBorders>
              <w:top w:val="single" w:sz="4" w:space="0" w:color="auto"/>
              <w:bottom w:val="single" w:sz="4" w:space="0" w:color="auto"/>
            </w:tcBorders>
            <w:shd w:val="clear" w:color="auto" w:fill="auto"/>
          </w:tcPr>
          <w:p w14:paraId="7A72BA78" w14:textId="1BF8E8BD" w:rsidR="008068C9" w:rsidRPr="008068C9" w:rsidRDefault="00112ED0" w:rsidP="00055689">
            <w:pPr>
              <w:jc w:val="center"/>
              <w:rPr>
                <w:b/>
                <w:sz w:val="20"/>
                <w:szCs w:val="20"/>
              </w:rPr>
            </w:pPr>
            <w:r>
              <w:rPr>
                <w:b/>
                <w:sz w:val="20"/>
                <w:szCs w:val="20"/>
              </w:rPr>
              <w:t>Frequency</w:t>
            </w:r>
          </w:p>
        </w:tc>
        <w:tc>
          <w:tcPr>
            <w:tcW w:w="2829" w:type="dxa"/>
            <w:tcBorders>
              <w:top w:val="single" w:sz="4" w:space="0" w:color="auto"/>
              <w:bottom w:val="single" w:sz="4" w:space="0" w:color="auto"/>
            </w:tcBorders>
            <w:shd w:val="clear" w:color="auto" w:fill="auto"/>
          </w:tcPr>
          <w:p w14:paraId="1E689272" w14:textId="2B01B4A1" w:rsidR="008068C9" w:rsidRPr="008068C9" w:rsidRDefault="00112ED0" w:rsidP="00055689">
            <w:pPr>
              <w:jc w:val="center"/>
              <w:rPr>
                <w:b/>
                <w:sz w:val="20"/>
                <w:szCs w:val="20"/>
              </w:rPr>
            </w:pPr>
            <w:r>
              <w:rPr>
                <w:b/>
                <w:sz w:val="20"/>
                <w:szCs w:val="20"/>
              </w:rPr>
              <w:t>Percentage</w:t>
            </w:r>
            <w:r w:rsidR="008068C9" w:rsidRPr="008068C9">
              <w:rPr>
                <w:b/>
                <w:sz w:val="20"/>
                <w:szCs w:val="20"/>
              </w:rPr>
              <w:t xml:space="preserve"> (%)</w:t>
            </w:r>
          </w:p>
        </w:tc>
      </w:tr>
      <w:tr w:rsidR="008068C9" w:rsidRPr="008068C9" w14:paraId="08561670" w14:textId="77777777" w:rsidTr="00055689">
        <w:tc>
          <w:tcPr>
            <w:tcW w:w="2829" w:type="dxa"/>
            <w:tcBorders>
              <w:top w:val="single" w:sz="4" w:space="0" w:color="auto"/>
            </w:tcBorders>
            <w:shd w:val="clear" w:color="auto" w:fill="auto"/>
          </w:tcPr>
          <w:p w14:paraId="62E00323" w14:textId="07BFF4E5" w:rsidR="008068C9" w:rsidRPr="008068C9" w:rsidRDefault="00112ED0" w:rsidP="00055689">
            <w:pPr>
              <w:jc w:val="center"/>
              <w:rPr>
                <w:bCs/>
                <w:sz w:val="20"/>
                <w:szCs w:val="20"/>
              </w:rPr>
            </w:pPr>
            <w:r>
              <w:rPr>
                <w:bCs/>
                <w:sz w:val="20"/>
                <w:szCs w:val="20"/>
              </w:rPr>
              <w:t>E-cigarette (va</w:t>
            </w:r>
            <w:r w:rsidR="008068C9" w:rsidRPr="008068C9">
              <w:rPr>
                <w:bCs/>
                <w:sz w:val="20"/>
                <w:szCs w:val="20"/>
              </w:rPr>
              <w:t>pe)</w:t>
            </w:r>
          </w:p>
        </w:tc>
        <w:tc>
          <w:tcPr>
            <w:tcW w:w="2829" w:type="dxa"/>
            <w:tcBorders>
              <w:top w:val="single" w:sz="4" w:space="0" w:color="auto"/>
            </w:tcBorders>
            <w:shd w:val="clear" w:color="auto" w:fill="auto"/>
          </w:tcPr>
          <w:p w14:paraId="46E5370C" w14:textId="77777777" w:rsidR="008068C9" w:rsidRPr="008068C9" w:rsidRDefault="008068C9" w:rsidP="00055689">
            <w:pPr>
              <w:jc w:val="center"/>
              <w:rPr>
                <w:bCs/>
                <w:sz w:val="20"/>
                <w:szCs w:val="20"/>
              </w:rPr>
            </w:pPr>
            <w:r w:rsidRPr="008068C9">
              <w:rPr>
                <w:bCs/>
                <w:sz w:val="20"/>
                <w:szCs w:val="20"/>
              </w:rPr>
              <w:t>37</w:t>
            </w:r>
          </w:p>
        </w:tc>
        <w:tc>
          <w:tcPr>
            <w:tcW w:w="2829" w:type="dxa"/>
            <w:tcBorders>
              <w:top w:val="single" w:sz="4" w:space="0" w:color="auto"/>
            </w:tcBorders>
            <w:shd w:val="clear" w:color="auto" w:fill="auto"/>
          </w:tcPr>
          <w:p w14:paraId="627D9F53" w14:textId="443B0C94" w:rsidR="008068C9" w:rsidRPr="008068C9" w:rsidRDefault="008068C9" w:rsidP="00055689">
            <w:pPr>
              <w:jc w:val="center"/>
              <w:rPr>
                <w:bCs/>
                <w:sz w:val="20"/>
                <w:szCs w:val="20"/>
              </w:rPr>
            </w:pPr>
            <w:r w:rsidRPr="008068C9">
              <w:rPr>
                <w:bCs/>
                <w:sz w:val="20"/>
                <w:szCs w:val="20"/>
              </w:rPr>
              <w:t>78</w:t>
            </w:r>
            <w:r w:rsidR="00112ED0">
              <w:rPr>
                <w:bCs/>
                <w:sz w:val="20"/>
                <w:szCs w:val="20"/>
              </w:rPr>
              <w:t>.</w:t>
            </w:r>
            <w:r w:rsidRPr="008068C9">
              <w:rPr>
                <w:bCs/>
                <w:sz w:val="20"/>
                <w:szCs w:val="20"/>
              </w:rPr>
              <w:t>7</w:t>
            </w:r>
          </w:p>
        </w:tc>
      </w:tr>
      <w:tr w:rsidR="008068C9" w:rsidRPr="008068C9" w14:paraId="3FB91C8F" w14:textId="77777777" w:rsidTr="00055689">
        <w:tc>
          <w:tcPr>
            <w:tcW w:w="2829" w:type="dxa"/>
            <w:tcBorders>
              <w:bottom w:val="single" w:sz="4" w:space="0" w:color="auto"/>
            </w:tcBorders>
            <w:shd w:val="clear" w:color="auto" w:fill="auto"/>
          </w:tcPr>
          <w:p w14:paraId="69A76DA6" w14:textId="75BB370C" w:rsidR="008068C9" w:rsidRPr="008068C9" w:rsidRDefault="00112ED0" w:rsidP="00055689">
            <w:pPr>
              <w:jc w:val="center"/>
              <w:rPr>
                <w:bCs/>
                <w:sz w:val="20"/>
                <w:szCs w:val="20"/>
              </w:rPr>
            </w:pPr>
            <w:r>
              <w:rPr>
                <w:bCs/>
                <w:sz w:val="20"/>
                <w:szCs w:val="20"/>
              </w:rPr>
              <w:t>Other Cigarettes</w:t>
            </w:r>
          </w:p>
        </w:tc>
        <w:tc>
          <w:tcPr>
            <w:tcW w:w="2829" w:type="dxa"/>
            <w:tcBorders>
              <w:bottom w:val="single" w:sz="4" w:space="0" w:color="auto"/>
            </w:tcBorders>
            <w:shd w:val="clear" w:color="auto" w:fill="auto"/>
          </w:tcPr>
          <w:p w14:paraId="57266487" w14:textId="77777777" w:rsidR="008068C9" w:rsidRPr="008068C9" w:rsidRDefault="008068C9" w:rsidP="00055689">
            <w:pPr>
              <w:jc w:val="center"/>
              <w:rPr>
                <w:bCs/>
                <w:sz w:val="20"/>
                <w:szCs w:val="20"/>
              </w:rPr>
            </w:pPr>
            <w:r w:rsidRPr="008068C9">
              <w:rPr>
                <w:bCs/>
                <w:sz w:val="20"/>
                <w:szCs w:val="20"/>
              </w:rPr>
              <w:t>10</w:t>
            </w:r>
          </w:p>
        </w:tc>
        <w:tc>
          <w:tcPr>
            <w:tcW w:w="2829" w:type="dxa"/>
            <w:tcBorders>
              <w:bottom w:val="single" w:sz="4" w:space="0" w:color="auto"/>
            </w:tcBorders>
            <w:shd w:val="clear" w:color="auto" w:fill="auto"/>
          </w:tcPr>
          <w:p w14:paraId="76EB661B" w14:textId="4978F376" w:rsidR="008068C9" w:rsidRPr="008068C9" w:rsidRDefault="008068C9" w:rsidP="00055689">
            <w:pPr>
              <w:jc w:val="center"/>
              <w:rPr>
                <w:bCs/>
                <w:sz w:val="20"/>
                <w:szCs w:val="20"/>
              </w:rPr>
            </w:pPr>
            <w:r w:rsidRPr="008068C9">
              <w:rPr>
                <w:bCs/>
                <w:sz w:val="20"/>
                <w:szCs w:val="20"/>
              </w:rPr>
              <w:t>21</w:t>
            </w:r>
            <w:r w:rsidR="00112ED0">
              <w:rPr>
                <w:bCs/>
                <w:sz w:val="20"/>
                <w:szCs w:val="20"/>
              </w:rPr>
              <w:t>.</w:t>
            </w:r>
            <w:r w:rsidRPr="008068C9">
              <w:rPr>
                <w:bCs/>
                <w:sz w:val="20"/>
                <w:szCs w:val="20"/>
              </w:rPr>
              <w:t>3</w:t>
            </w:r>
          </w:p>
        </w:tc>
      </w:tr>
      <w:tr w:rsidR="008068C9" w:rsidRPr="008068C9" w14:paraId="0E72AAE6" w14:textId="77777777" w:rsidTr="00055689">
        <w:tc>
          <w:tcPr>
            <w:tcW w:w="2829" w:type="dxa"/>
            <w:tcBorders>
              <w:top w:val="single" w:sz="4" w:space="0" w:color="auto"/>
              <w:bottom w:val="single" w:sz="4" w:space="0" w:color="auto"/>
            </w:tcBorders>
            <w:shd w:val="clear" w:color="auto" w:fill="auto"/>
          </w:tcPr>
          <w:p w14:paraId="3B897271" w14:textId="77777777" w:rsidR="008068C9" w:rsidRPr="008068C9" w:rsidRDefault="008068C9" w:rsidP="00055689">
            <w:pPr>
              <w:jc w:val="center"/>
              <w:rPr>
                <w:b/>
                <w:sz w:val="20"/>
                <w:szCs w:val="20"/>
              </w:rPr>
            </w:pPr>
            <w:r w:rsidRPr="008068C9">
              <w:rPr>
                <w:b/>
                <w:sz w:val="20"/>
                <w:szCs w:val="20"/>
              </w:rPr>
              <w:t>Total</w:t>
            </w:r>
          </w:p>
        </w:tc>
        <w:tc>
          <w:tcPr>
            <w:tcW w:w="2829" w:type="dxa"/>
            <w:tcBorders>
              <w:top w:val="single" w:sz="4" w:space="0" w:color="auto"/>
              <w:bottom w:val="single" w:sz="4" w:space="0" w:color="auto"/>
            </w:tcBorders>
            <w:shd w:val="clear" w:color="auto" w:fill="auto"/>
          </w:tcPr>
          <w:p w14:paraId="22F82062" w14:textId="77777777" w:rsidR="008068C9" w:rsidRPr="008068C9" w:rsidRDefault="008068C9" w:rsidP="00055689">
            <w:pPr>
              <w:jc w:val="center"/>
              <w:rPr>
                <w:b/>
                <w:sz w:val="20"/>
                <w:szCs w:val="20"/>
              </w:rPr>
            </w:pPr>
            <w:r w:rsidRPr="008068C9">
              <w:rPr>
                <w:b/>
                <w:sz w:val="20"/>
                <w:szCs w:val="20"/>
              </w:rPr>
              <w:t>47</w:t>
            </w:r>
          </w:p>
        </w:tc>
        <w:tc>
          <w:tcPr>
            <w:tcW w:w="2829" w:type="dxa"/>
            <w:tcBorders>
              <w:top w:val="single" w:sz="4" w:space="0" w:color="auto"/>
              <w:bottom w:val="single" w:sz="4" w:space="0" w:color="auto"/>
            </w:tcBorders>
            <w:shd w:val="clear" w:color="auto" w:fill="auto"/>
          </w:tcPr>
          <w:p w14:paraId="23FF2672" w14:textId="77777777" w:rsidR="008068C9" w:rsidRPr="008068C9" w:rsidRDefault="008068C9" w:rsidP="00055689">
            <w:pPr>
              <w:jc w:val="center"/>
              <w:rPr>
                <w:b/>
                <w:sz w:val="20"/>
                <w:szCs w:val="20"/>
              </w:rPr>
            </w:pPr>
            <w:r w:rsidRPr="008068C9">
              <w:rPr>
                <w:b/>
                <w:sz w:val="20"/>
                <w:szCs w:val="20"/>
              </w:rPr>
              <w:t>100%</w:t>
            </w:r>
          </w:p>
        </w:tc>
      </w:tr>
    </w:tbl>
    <w:p w14:paraId="5DB9828A" w14:textId="77777777" w:rsidR="008068C9" w:rsidRDefault="008068C9" w:rsidP="008068C9">
      <w:pPr>
        <w:widowControl w:val="0"/>
        <w:autoSpaceDE w:val="0"/>
        <w:autoSpaceDN w:val="0"/>
        <w:adjustRightInd w:val="0"/>
        <w:jc w:val="both"/>
        <w:rPr>
          <w:sz w:val="20"/>
          <w:szCs w:val="20"/>
        </w:rPr>
      </w:pPr>
    </w:p>
    <w:p w14:paraId="63FBAB85" w14:textId="7389270C" w:rsidR="008068C9" w:rsidRDefault="00112ED0" w:rsidP="00B8229D">
      <w:pPr>
        <w:widowControl w:val="0"/>
        <w:autoSpaceDE w:val="0"/>
        <w:autoSpaceDN w:val="0"/>
        <w:adjustRightInd w:val="0"/>
        <w:ind w:firstLine="567"/>
        <w:jc w:val="both"/>
        <w:rPr>
          <w:sz w:val="20"/>
          <w:szCs w:val="20"/>
        </w:rPr>
      </w:pPr>
      <w:r w:rsidRPr="00112ED0">
        <w:rPr>
          <w:sz w:val="20"/>
          <w:szCs w:val="20"/>
        </w:rPr>
        <w:t>According to Table 3, 37 respondents (78.7%) used e-cigarettes (vape), while 10 respondents (21.3%) smoked other types of cigarettes.</w:t>
      </w:r>
    </w:p>
    <w:p w14:paraId="37E67316" w14:textId="1ED9ECE9" w:rsidR="00112ED0" w:rsidRDefault="00112ED0" w:rsidP="00B8229D">
      <w:pPr>
        <w:widowControl w:val="0"/>
        <w:autoSpaceDE w:val="0"/>
        <w:autoSpaceDN w:val="0"/>
        <w:adjustRightInd w:val="0"/>
        <w:ind w:firstLine="567"/>
        <w:jc w:val="both"/>
        <w:rPr>
          <w:sz w:val="20"/>
          <w:szCs w:val="20"/>
        </w:rPr>
      </w:pPr>
    </w:p>
    <w:p w14:paraId="7F5820EB" w14:textId="373D2F26" w:rsidR="008068C9" w:rsidRDefault="00112ED0" w:rsidP="00112ED0">
      <w:pPr>
        <w:widowControl w:val="0"/>
        <w:autoSpaceDE w:val="0"/>
        <w:autoSpaceDN w:val="0"/>
        <w:adjustRightInd w:val="0"/>
        <w:jc w:val="both"/>
        <w:rPr>
          <w:b/>
          <w:bCs/>
          <w:sz w:val="20"/>
          <w:szCs w:val="20"/>
        </w:rPr>
      </w:pPr>
      <w:r>
        <w:rPr>
          <w:b/>
          <w:bCs/>
          <w:sz w:val="20"/>
          <w:szCs w:val="20"/>
        </w:rPr>
        <w:t>Bivariate Analysis</w:t>
      </w:r>
    </w:p>
    <w:p w14:paraId="1BD4FCC2" w14:textId="70D0FD46" w:rsidR="00112ED0" w:rsidRDefault="00112ED0" w:rsidP="00B8229D">
      <w:pPr>
        <w:widowControl w:val="0"/>
        <w:autoSpaceDE w:val="0"/>
        <w:autoSpaceDN w:val="0"/>
        <w:adjustRightInd w:val="0"/>
        <w:ind w:firstLine="567"/>
        <w:jc w:val="both"/>
        <w:rPr>
          <w:sz w:val="20"/>
          <w:szCs w:val="20"/>
        </w:rPr>
      </w:pPr>
      <w:r w:rsidRPr="00112ED0">
        <w:rPr>
          <w:sz w:val="20"/>
          <w:szCs w:val="20"/>
        </w:rPr>
        <w:t>Bivariate analysis aimed to find out the relationship of social support toward smoking behavior of senior high age adolescents in Surabaya. The result of bivariate analysis can be seen as follows.</w:t>
      </w:r>
    </w:p>
    <w:p w14:paraId="34A9F793" w14:textId="77777777" w:rsidR="00112ED0" w:rsidRDefault="00112ED0" w:rsidP="00B8229D">
      <w:pPr>
        <w:widowControl w:val="0"/>
        <w:autoSpaceDE w:val="0"/>
        <w:autoSpaceDN w:val="0"/>
        <w:adjustRightInd w:val="0"/>
        <w:ind w:firstLine="567"/>
        <w:jc w:val="both"/>
        <w:rPr>
          <w:sz w:val="20"/>
          <w:szCs w:val="20"/>
        </w:rPr>
      </w:pPr>
    </w:p>
    <w:p w14:paraId="42E73D55" w14:textId="1576C38C" w:rsidR="00112ED0" w:rsidRPr="00496275" w:rsidRDefault="00112ED0" w:rsidP="00112ED0">
      <w:pPr>
        <w:widowControl w:val="0"/>
        <w:autoSpaceDE w:val="0"/>
        <w:autoSpaceDN w:val="0"/>
        <w:adjustRightInd w:val="0"/>
        <w:jc w:val="both"/>
        <w:rPr>
          <w:bCs/>
          <w:sz w:val="20"/>
          <w:szCs w:val="20"/>
        </w:rPr>
      </w:pPr>
      <w:r>
        <w:rPr>
          <w:b/>
          <w:bCs/>
          <w:sz w:val="20"/>
          <w:szCs w:val="20"/>
        </w:rPr>
        <w:t xml:space="preserve">Table 4. </w:t>
      </w:r>
      <w:r w:rsidRPr="00496275">
        <w:rPr>
          <w:bCs/>
          <w:sz w:val="20"/>
          <w:szCs w:val="20"/>
        </w:rPr>
        <w:t>The Relationship between Social Support and Smoking / Vaping Behavior</w:t>
      </w:r>
    </w:p>
    <w:tbl>
      <w:tblPr>
        <w:tblW w:w="9107" w:type="dxa"/>
        <w:tblInd w:w="5" w:type="dxa"/>
        <w:tblCellMar>
          <w:left w:w="0" w:type="dxa"/>
          <w:right w:w="0" w:type="dxa"/>
        </w:tblCellMar>
        <w:tblLook w:val="04A0" w:firstRow="1" w:lastRow="0" w:firstColumn="1" w:lastColumn="0" w:noHBand="0" w:noVBand="1"/>
      </w:tblPr>
      <w:tblGrid>
        <w:gridCol w:w="1345"/>
        <w:gridCol w:w="1724"/>
        <w:gridCol w:w="632"/>
        <w:gridCol w:w="605"/>
        <w:gridCol w:w="706"/>
        <w:gridCol w:w="607"/>
        <w:gridCol w:w="650"/>
        <w:gridCol w:w="387"/>
        <w:gridCol w:w="822"/>
        <w:gridCol w:w="420"/>
        <w:gridCol w:w="1209"/>
      </w:tblGrid>
      <w:tr w:rsidR="00112ED0" w:rsidRPr="00112ED0" w14:paraId="6F503B2D" w14:textId="77777777" w:rsidTr="00112ED0">
        <w:trPr>
          <w:trHeight w:val="334"/>
        </w:trPr>
        <w:tc>
          <w:tcPr>
            <w:tcW w:w="1345" w:type="dxa"/>
            <w:tcBorders>
              <w:top w:val="single" w:sz="4" w:space="0" w:color="auto"/>
            </w:tcBorders>
            <w:shd w:val="clear" w:color="auto" w:fill="auto"/>
          </w:tcPr>
          <w:p w14:paraId="653F4E17" w14:textId="77777777" w:rsidR="00112ED0" w:rsidRPr="00112ED0" w:rsidRDefault="00112ED0" w:rsidP="00055689">
            <w:pPr>
              <w:jc w:val="center"/>
              <w:rPr>
                <w:b/>
                <w:sz w:val="20"/>
                <w:szCs w:val="20"/>
              </w:rPr>
            </w:pPr>
          </w:p>
        </w:tc>
        <w:tc>
          <w:tcPr>
            <w:tcW w:w="1724" w:type="dxa"/>
            <w:vMerge w:val="restart"/>
            <w:tcBorders>
              <w:top w:val="single" w:sz="4" w:space="0" w:color="auto"/>
            </w:tcBorders>
            <w:shd w:val="clear" w:color="auto" w:fill="auto"/>
            <w:vAlign w:val="center"/>
          </w:tcPr>
          <w:p w14:paraId="48A3B6F4" w14:textId="432C761A" w:rsidR="00112ED0" w:rsidRPr="00112ED0" w:rsidRDefault="00112ED0" w:rsidP="00055689">
            <w:pPr>
              <w:jc w:val="center"/>
              <w:rPr>
                <w:b/>
                <w:sz w:val="20"/>
                <w:szCs w:val="20"/>
              </w:rPr>
            </w:pPr>
            <w:r>
              <w:rPr>
                <w:b/>
                <w:sz w:val="20"/>
                <w:szCs w:val="20"/>
              </w:rPr>
              <w:t>Category</w:t>
            </w:r>
          </w:p>
        </w:tc>
        <w:tc>
          <w:tcPr>
            <w:tcW w:w="4829" w:type="dxa"/>
            <w:gridSpan w:val="8"/>
            <w:tcBorders>
              <w:top w:val="single" w:sz="4" w:space="0" w:color="auto"/>
              <w:bottom w:val="single" w:sz="4" w:space="0" w:color="auto"/>
            </w:tcBorders>
            <w:shd w:val="clear" w:color="auto" w:fill="auto"/>
            <w:vAlign w:val="center"/>
          </w:tcPr>
          <w:p w14:paraId="4BAE7D04" w14:textId="7E375C0E" w:rsidR="00112ED0" w:rsidRPr="00112ED0" w:rsidRDefault="00112ED0" w:rsidP="00055689">
            <w:pPr>
              <w:jc w:val="center"/>
              <w:rPr>
                <w:b/>
                <w:sz w:val="20"/>
                <w:szCs w:val="20"/>
              </w:rPr>
            </w:pPr>
            <w:r>
              <w:rPr>
                <w:b/>
                <w:sz w:val="20"/>
                <w:szCs w:val="20"/>
              </w:rPr>
              <w:t>Smoking Behavior</w:t>
            </w:r>
          </w:p>
        </w:tc>
        <w:tc>
          <w:tcPr>
            <w:tcW w:w="1209" w:type="dxa"/>
            <w:vMerge w:val="restart"/>
            <w:tcBorders>
              <w:top w:val="single" w:sz="4" w:space="0" w:color="auto"/>
            </w:tcBorders>
            <w:shd w:val="clear" w:color="auto" w:fill="auto"/>
            <w:vAlign w:val="center"/>
          </w:tcPr>
          <w:p w14:paraId="7FFEDC24" w14:textId="66E5E45F" w:rsidR="00112ED0" w:rsidRPr="00112ED0" w:rsidRDefault="009E30EB" w:rsidP="00055689">
            <w:pPr>
              <w:jc w:val="center"/>
              <w:rPr>
                <w:b/>
                <w:sz w:val="20"/>
                <w:szCs w:val="20"/>
              </w:rPr>
            </w:pPr>
            <w:r>
              <w:rPr>
                <w:b/>
                <w:sz w:val="20"/>
                <w:szCs w:val="20"/>
              </w:rPr>
              <w:t>Pearson Chi Square (</w:t>
            </w:r>
            <w:r w:rsidR="00112ED0" w:rsidRPr="00112ED0">
              <w:rPr>
                <w:b/>
                <w:sz w:val="20"/>
                <w:szCs w:val="20"/>
              </w:rPr>
              <w:t>p</w:t>
            </w:r>
            <w:r>
              <w:rPr>
                <w:b/>
                <w:sz w:val="20"/>
                <w:szCs w:val="20"/>
              </w:rPr>
              <w:t>-value)</w:t>
            </w:r>
          </w:p>
        </w:tc>
      </w:tr>
      <w:tr w:rsidR="00112ED0" w:rsidRPr="00112ED0" w14:paraId="5737A64D" w14:textId="77777777" w:rsidTr="00112ED0">
        <w:trPr>
          <w:trHeight w:val="213"/>
        </w:trPr>
        <w:tc>
          <w:tcPr>
            <w:tcW w:w="1345" w:type="dxa"/>
            <w:shd w:val="clear" w:color="auto" w:fill="auto"/>
          </w:tcPr>
          <w:p w14:paraId="73FB0EFA" w14:textId="25C5EC2A" w:rsidR="00112ED0" w:rsidRPr="00112ED0" w:rsidRDefault="00112ED0" w:rsidP="00055689">
            <w:pPr>
              <w:jc w:val="center"/>
              <w:rPr>
                <w:b/>
                <w:sz w:val="20"/>
                <w:szCs w:val="20"/>
              </w:rPr>
            </w:pPr>
            <w:r>
              <w:rPr>
                <w:b/>
                <w:sz w:val="20"/>
                <w:szCs w:val="20"/>
              </w:rPr>
              <w:t>Social Support</w:t>
            </w:r>
          </w:p>
        </w:tc>
        <w:tc>
          <w:tcPr>
            <w:tcW w:w="1724" w:type="dxa"/>
            <w:vMerge/>
            <w:shd w:val="clear" w:color="auto" w:fill="auto"/>
            <w:vAlign w:val="center"/>
          </w:tcPr>
          <w:p w14:paraId="017A80BD" w14:textId="77777777" w:rsidR="00112ED0" w:rsidRPr="00112ED0" w:rsidRDefault="00112ED0" w:rsidP="00055689">
            <w:pPr>
              <w:jc w:val="center"/>
              <w:rPr>
                <w:b/>
                <w:sz w:val="20"/>
                <w:szCs w:val="20"/>
              </w:rPr>
            </w:pPr>
          </w:p>
        </w:tc>
        <w:tc>
          <w:tcPr>
            <w:tcW w:w="1237" w:type="dxa"/>
            <w:gridSpan w:val="2"/>
            <w:tcBorders>
              <w:top w:val="single" w:sz="4" w:space="0" w:color="auto"/>
              <w:bottom w:val="single" w:sz="4" w:space="0" w:color="auto"/>
            </w:tcBorders>
            <w:shd w:val="clear" w:color="auto" w:fill="auto"/>
            <w:vAlign w:val="center"/>
          </w:tcPr>
          <w:p w14:paraId="53A98623" w14:textId="7B1EA43D" w:rsidR="00112ED0" w:rsidRPr="00112ED0" w:rsidRDefault="00112ED0" w:rsidP="00055689">
            <w:pPr>
              <w:jc w:val="center"/>
              <w:rPr>
                <w:b/>
                <w:sz w:val="20"/>
                <w:szCs w:val="20"/>
              </w:rPr>
            </w:pPr>
            <w:r>
              <w:rPr>
                <w:b/>
                <w:sz w:val="20"/>
                <w:szCs w:val="20"/>
              </w:rPr>
              <w:t>No</w:t>
            </w:r>
          </w:p>
        </w:tc>
        <w:tc>
          <w:tcPr>
            <w:tcW w:w="1313" w:type="dxa"/>
            <w:gridSpan w:val="2"/>
            <w:tcBorders>
              <w:top w:val="single" w:sz="4" w:space="0" w:color="auto"/>
              <w:bottom w:val="single" w:sz="4" w:space="0" w:color="auto"/>
            </w:tcBorders>
            <w:shd w:val="clear" w:color="auto" w:fill="auto"/>
            <w:vAlign w:val="center"/>
          </w:tcPr>
          <w:p w14:paraId="298BBE64" w14:textId="7B60F7C6" w:rsidR="00112ED0" w:rsidRPr="00112ED0" w:rsidRDefault="00112ED0" w:rsidP="00055689">
            <w:pPr>
              <w:jc w:val="center"/>
              <w:rPr>
                <w:b/>
                <w:sz w:val="20"/>
                <w:szCs w:val="20"/>
              </w:rPr>
            </w:pPr>
            <w:r>
              <w:rPr>
                <w:b/>
                <w:sz w:val="20"/>
                <w:szCs w:val="20"/>
              </w:rPr>
              <w:t>Yes (Vape)</w:t>
            </w:r>
          </w:p>
        </w:tc>
        <w:tc>
          <w:tcPr>
            <w:tcW w:w="1037" w:type="dxa"/>
            <w:gridSpan w:val="2"/>
            <w:tcBorders>
              <w:top w:val="single" w:sz="4" w:space="0" w:color="auto"/>
              <w:bottom w:val="single" w:sz="4" w:space="0" w:color="auto"/>
            </w:tcBorders>
            <w:shd w:val="clear" w:color="auto" w:fill="auto"/>
            <w:vAlign w:val="center"/>
          </w:tcPr>
          <w:p w14:paraId="7113C0D1" w14:textId="75D0C10C" w:rsidR="00112ED0" w:rsidRPr="00112ED0" w:rsidRDefault="00112ED0" w:rsidP="00055689">
            <w:pPr>
              <w:jc w:val="center"/>
              <w:rPr>
                <w:b/>
                <w:sz w:val="20"/>
                <w:szCs w:val="20"/>
              </w:rPr>
            </w:pPr>
            <w:r>
              <w:rPr>
                <w:b/>
                <w:sz w:val="20"/>
                <w:szCs w:val="20"/>
              </w:rPr>
              <w:t>Yes (Other Cig)</w:t>
            </w:r>
          </w:p>
        </w:tc>
        <w:tc>
          <w:tcPr>
            <w:tcW w:w="1242" w:type="dxa"/>
            <w:gridSpan w:val="2"/>
            <w:tcBorders>
              <w:top w:val="single" w:sz="4" w:space="0" w:color="auto"/>
              <w:bottom w:val="single" w:sz="4" w:space="0" w:color="auto"/>
            </w:tcBorders>
            <w:shd w:val="clear" w:color="auto" w:fill="auto"/>
            <w:vAlign w:val="center"/>
          </w:tcPr>
          <w:p w14:paraId="1DD8FE80" w14:textId="77777777" w:rsidR="00112ED0" w:rsidRPr="00112ED0" w:rsidRDefault="00112ED0" w:rsidP="00055689">
            <w:pPr>
              <w:jc w:val="center"/>
              <w:rPr>
                <w:b/>
                <w:sz w:val="20"/>
                <w:szCs w:val="20"/>
              </w:rPr>
            </w:pPr>
            <w:r w:rsidRPr="00112ED0">
              <w:rPr>
                <w:b/>
                <w:sz w:val="20"/>
                <w:szCs w:val="20"/>
              </w:rPr>
              <w:t>Total</w:t>
            </w:r>
          </w:p>
        </w:tc>
        <w:tc>
          <w:tcPr>
            <w:tcW w:w="1209" w:type="dxa"/>
            <w:vMerge/>
            <w:shd w:val="clear" w:color="auto" w:fill="auto"/>
            <w:vAlign w:val="center"/>
          </w:tcPr>
          <w:p w14:paraId="28A82F9F" w14:textId="77777777" w:rsidR="00112ED0" w:rsidRPr="00112ED0" w:rsidRDefault="00112ED0" w:rsidP="00055689">
            <w:pPr>
              <w:jc w:val="center"/>
              <w:rPr>
                <w:b/>
                <w:sz w:val="20"/>
                <w:szCs w:val="20"/>
              </w:rPr>
            </w:pPr>
          </w:p>
        </w:tc>
      </w:tr>
      <w:tr w:rsidR="00112ED0" w:rsidRPr="00112ED0" w14:paraId="2FE0AB87" w14:textId="77777777" w:rsidTr="00112ED0">
        <w:trPr>
          <w:trHeight w:val="213"/>
        </w:trPr>
        <w:tc>
          <w:tcPr>
            <w:tcW w:w="1345" w:type="dxa"/>
            <w:tcBorders>
              <w:bottom w:val="single" w:sz="4" w:space="0" w:color="auto"/>
            </w:tcBorders>
            <w:shd w:val="clear" w:color="auto" w:fill="auto"/>
          </w:tcPr>
          <w:p w14:paraId="0CF3B304" w14:textId="77777777" w:rsidR="00112ED0" w:rsidRPr="00112ED0" w:rsidRDefault="00112ED0" w:rsidP="00055689">
            <w:pPr>
              <w:jc w:val="center"/>
              <w:rPr>
                <w:b/>
                <w:sz w:val="20"/>
                <w:szCs w:val="20"/>
              </w:rPr>
            </w:pPr>
          </w:p>
        </w:tc>
        <w:tc>
          <w:tcPr>
            <w:tcW w:w="1724" w:type="dxa"/>
            <w:vMerge/>
            <w:tcBorders>
              <w:bottom w:val="single" w:sz="4" w:space="0" w:color="auto"/>
            </w:tcBorders>
            <w:shd w:val="clear" w:color="auto" w:fill="auto"/>
            <w:vAlign w:val="center"/>
          </w:tcPr>
          <w:p w14:paraId="7C274829" w14:textId="77777777" w:rsidR="00112ED0" w:rsidRPr="00112ED0" w:rsidRDefault="00112ED0" w:rsidP="00055689">
            <w:pPr>
              <w:jc w:val="center"/>
              <w:rPr>
                <w:b/>
                <w:sz w:val="20"/>
                <w:szCs w:val="20"/>
              </w:rPr>
            </w:pPr>
          </w:p>
        </w:tc>
        <w:tc>
          <w:tcPr>
            <w:tcW w:w="632" w:type="dxa"/>
            <w:tcBorders>
              <w:top w:val="single" w:sz="4" w:space="0" w:color="auto"/>
              <w:bottom w:val="single" w:sz="4" w:space="0" w:color="auto"/>
            </w:tcBorders>
            <w:shd w:val="clear" w:color="auto" w:fill="auto"/>
            <w:vAlign w:val="center"/>
          </w:tcPr>
          <w:p w14:paraId="0A085771" w14:textId="77777777" w:rsidR="00112ED0" w:rsidRPr="00112ED0" w:rsidRDefault="00112ED0" w:rsidP="00055689">
            <w:pPr>
              <w:jc w:val="center"/>
              <w:rPr>
                <w:b/>
                <w:sz w:val="20"/>
                <w:szCs w:val="20"/>
              </w:rPr>
            </w:pPr>
            <w:r w:rsidRPr="00112ED0">
              <w:rPr>
                <w:b/>
                <w:sz w:val="20"/>
                <w:szCs w:val="20"/>
              </w:rPr>
              <w:t>f</w:t>
            </w:r>
          </w:p>
        </w:tc>
        <w:tc>
          <w:tcPr>
            <w:tcW w:w="605" w:type="dxa"/>
            <w:tcBorders>
              <w:top w:val="single" w:sz="4" w:space="0" w:color="auto"/>
              <w:bottom w:val="single" w:sz="4" w:space="0" w:color="auto"/>
            </w:tcBorders>
            <w:shd w:val="clear" w:color="auto" w:fill="auto"/>
            <w:vAlign w:val="center"/>
          </w:tcPr>
          <w:p w14:paraId="7D0F37FA" w14:textId="77777777" w:rsidR="00112ED0" w:rsidRPr="00112ED0" w:rsidRDefault="00112ED0" w:rsidP="00055689">
            <w:pPr>
              <w:jc w:val="center"/>
              <w:rPr>
                <w:b/>
                <w:sz w:val="20"/>
                <w:szCs w:val="20"/>
              </w:rPr>
            </w:pPr>
            <w:r w:rsidRPr="00112ED0">
              <w:rPr>
                <w:b/>
                <w:sz w:val="20"/>
                <w:szCs w:val="20"/>
              </w:rPr>
              <w:t>%</w:t>
            </w:r>
          </w:p>
        </w:tc>
        <w:tc>
          <w:tcPr>
            <w:tcW w:w="706" w:type="dxa"/>
            <w:tcBorders>
              <w:top w:val="single" w:sz="4" w:space="0" w:color="auto"/>
              <w:bottom w:val="single" w:sz="4" w:space="0" w:color="auto"/>
            </w:tcBorders>
            <w:shd w:val="clear" w:color="auto" w:fill="auto"/>
            <w:vAlign w:val="center"/>
          </w:tcPr>
          <w:p w14:paraId="4BE37F49" w14:textId="77777777" w:rsidR="00112ED0" w:rsidRPr="00112ED0" w:rsidRDefault="00112ED0" w:rsidP="00055689">
            <w:pPr>
              <w:jc w:val="center"/>
              <w:rPr>
                <w:b/>
                <w:sz w:val="20"/>
                <w:szCs w:val="20"/>
              </w:rPr>
            </w:pPr>
            <w:r w:rsidRPr="00112ED0">
              <w:rPr>
                <w:b/>
                <w:sz w:val="20"/>
                <w:szCs w:val="20"/>
              </w:rPr>
              <w:t>f</w:t>
            </w:r>
          </w:p>
        </w:tc>
        <w:tc>
          <w:tcPr>
            <w:tcW w:w="607" w:type="dxa"/>
            <w:tcBorders>
              <w:top w:val="single" w:sz="4" w:space="0" w:color="auto"/>
              <w:bottom w:val="single" w:sz="4" w:space="0" w:color="auto"/>
            </w:tcBorders>
            <w:shd w:val="clear" w:color="auto" w:fill="auto"/>
            <w:vAlign w:val="center"/>
          </w:tcPr>
          <w:p w14:paraId="7196EAF5" w14:textId="77777777" w:rsidR="00112ED0" w:rsidRPr="00112ED0" w:rsidRDefault="00112ED0" w:rsidP="00055689">
            <w:pPr>
              <w:jc w:val="center"/>
              <w:rPr>
                <w:b/>
                <w:sz w:val="20"/>
                <w:szCs w:val="20"/>
              </w:rPr>
            </w:pPr>
            <w:r w:rsidRPr="00112ED0">
              <w:rPr>
                <w:b/>
                <w:sz w:val="20"/>
                <w:szCs w:val="20"/>
              </w:rPr>
              <w:t>%</w:t>
            </w:r>
          </w:p>
        </w:tc>
        <w:tc>
          <w:tcPr>
            <w:tcW w:w="650" w:type="dxa"/>
            <w:tcBorders>
              <w:top w:val="single" w:sz="4" w:space="0" w:color="auto"/>
              <w:bottom w:val="single" w:sz="4" w:space="0" w:color="auto"/>
            </w:tcBorders>
            <w:shd w:val="clear" w:color="auto" w:fill="auto"/>
            <w:vAlign w:val="center"/>
          </w:tcPr>
          <w:p w14:paraId="45C0B83B" w14:textId="77777777" w:rsidR="00112ED0" w:rsidRPr="00112ED0" w:rsidRDefault="00112ED0" w:rsidP="00055689">
            <w:pPr>
              <w:jc w:val="center"/>
              <w:rPr>
                <w:b/>
                <w:sz w:val="20"/>
                <w:szCs w:val="20"/>
              </w:rPr>
            </w:pPr>
            <w:r w:rsidRPr="00112ED0">
              <w:rPr>
                <w:b/>
                <w:sz w:val="20"/>
                <w:szCs w:val="20"/>
              </w:rPr>
              <w:t>f</w:t>
            </w:r>
          </w:p>
        </w:tc>
        <w:tc>
          <w:tcPr>
            <w:tcW w:w="387" w:type="dxa"/>
            <w:tcBorders>
              <w:top w:val="single" w:sz="4" w:space="0" w:color="auto"/>
              <w:bottom w:val="single" w:sz="4" w:space="0" w:color="auto"/>
            </w:tcBorders>
            <w:shd w:val="clear" w:color="auto" w:fill="auto"/>
            <w:vAlign w:val="center"/>
          </w:tcPr>
          <w:p w14:paraId="0D6899C3" w14:textId="77777777" w:rsidR="00112ED0" w:rsidRPr="00112ED0" w:rsidRDefault="00112ED0" w:rsidP="00055689">
            <w:pPr>
              <w:jc w:val="center"/>
              <w:rPr>
                <w:b/>
                <w:sz w:val="20"/>
                <w:szCs w:val="20"/>
              </w:rPr>
            </w:pPr>
            <w:r w:rsidRPr="00112ED0">
              <w:rPr>
                <w:b/>
                <w:sz w:val="20"/>
                <w:szCs w:val="20"/>
              </w:rPr>
              <w:t>%</w:t>
            </w:r>
          </w:p>
        </w:tc>
        <w:tc>
          <w:tcPr>
            <w:tcW w:w="822" w:type="dxa"/>
            <w:tcBorders>
              <w:top w:val="single" w:sz="4" w:space="0" w:color="auto"/>
              <w:bottom w:val="single" w:sz="4" w:space="0" w:color="auto"/>
            </w:tcBorders>
            <w:shd w:val="clear" w:color="auto" w:fill="auto"/>
            <w:vAlign w:val="center"/>
          </w:tcPr>
          <w:p w14:paraId="00DF77A7" w14:textId="77777777" w:rsidR="00112ED0" w:rsidRPr="00112ED0" w:rsidRDefault="00112ED0" w:rsidP="00055689">
            <w:pPr>
              <w:jc w:val="center"/>
              <w:rPr>
                <w:b/>
                <w:sz w:val="20"/>
                <w:szCs w:val="20"/>
              </w:rPr>
            </w:pPr>
            <w:r w:rsidRPr="00112ED0">
              <w:rPr>
                <w:b/>
                <w:sz w:val="20"/>
                <w:szCs w:val="20"/>
              </w:rPr>
              <w:t>f</w:t>
            </w:r>
          </w:p>
        </w:tc>
        <w:tc>
          <w:tcPr>
            <w:tcW w:w="420" w:type="dxa"/>
            <w:tcBorders>
              <w:top w:val="single" w:sz="4" w:space="0" w:color="auto"/>
              <w:bottom w:val="single" w:sz="4" w:space="0" w:color="auto"/>
            </w:tcBorders>
            <w:shd w:val="clear" w:color="auto" w:fill="auto"/>
            <w:vAlign w:val="center"/>
          </w:tcPr>
          <w:p w14:paraId="17FE02C9" w14:textId="77777777" w:rsidR="00112ED0" w:rsidRPr="00112ED0" w:rsidRDefault="00112ED0" w:rsidP="00055689">
            <w:pPr>
              <w:jc w:val="center"/>
              <w:rPr>
                <w:b/>
                <w:sz w:val="20"/>
                <w:szCs w:val="20"/>
              </w:rPr>
            </w:pPr>
            <w:r w:rsidRPr="00112ED0">
              <w:rPr>
                <w:b/>
                <w:sz w:val="20"/>
                <w:szCs w:val="20"/>
              </w:rPr>
              <w:t>%</w:t>
            </w:r>
          </w:p>
        </w:tc>
        <w:tc>
          <w:tcPr>
            <w:tcW w:w="1209" w:type="dxa"/>
            <w:vMerge/>
            <w:tcBorders>
              <w:bottom w:val="single" w:sz="4" w:space="0" w:color="auto"/>
            </w:tcBorders>
            <w:shd w:val="clear" w:color="auto" w:fill="auto"/>
            <w:vAlign w:val="center"/>
          </w:tcPr>
          <w:p w14:paraId="06BD8695" w14:textId="77777777" w:rsidR="00112ED0" w:rsidRPr="00112ED0" w:rsidRDefault="00112ED0" w:rsidP="00055689">
            <w:pPr>
              <w:jc w:val="center"/>
              <w:rPr>
                <w:b/>
                <w:sz w:val="20"/>
                <w:szCs w:val="20"/>
              </w:rPr>
            </w:pPr>
          </w:p>
        </w:tc>
      </w:tr>
      <w:tr w:rsidR="00112ED0" w:rsidRPr="00112ED0" w14:paraId="4C57A66F" w14:textId="77777777" w:rsidTr="00112ED0">
        <w:tc>
          <w:tcPr>
            <w:tcW w:w="1345" w:type="dxa"/>
            <w:vMerge w:val="restart"/>
            <w:tcBorders>
              <w:top w:val="single" w:sz="4" w:space="0" w:color="auto"/>
            </w:tcBorders>
            <w:shd w:val="clear" w:color="auto" w:fill="auto"/>
          </w:tcPr>
          <w:p w14:paraId="59212E60" w14:textId="39A0C94C" w:rsidR="00112ED0" w:rsidRPr="00112ED0" w:rsidRDefault="00112ED0" w:rsidP="00055689">
            <w:pPr>
              <w:jc w:val="center"/>
              <w:rPr>
                <w:bCs/>
                <w:sz w:val="20"/>
                <w:szCs w:val="20"/>
              </w:rPr>
            </w:pPr>
            <w:r w:rsidRPr="00112ED0">
              <w:rPr>
                <w:bCs/>
                <w:sz w:val="20"/>
                <w:szCs w:val="20"/>
              </w:rPr>
              <w:t>Instrumental</w:t>
            </w:r>
            <w:r>
              <w:rPr>
                <w:bCs/>
                <w:sz w:val="20"/>
                <w:szCs w:val="20"/>
              </w:rPr>
              <w:t xml:space="preserve"> Support</w:t>
            </w:r>
          </w:p>
        </w:tc>
        <w:tc>
          <w:tcPr>
            <w:tcW w:w="1724" w:type="dxa"/>
            <w:tcBorders>
              <w:top w:val="single" w:sz="4" w:space="0" w:color="auto"/>
            </w:tcBorders>
            <w:shd w:val="clear" w:color="auto" w:fill="auto"/>
          </w:tcPr>
          <w:p w14:paraId="68FCF047" w14:textId="7C763CEB" w:rsidR="00112ED0" w:rsidRPr="00112ED0" w:rsidRDefault="00112ED0" w:rsidP="00055689">
            <w:pPr>
              <w:jc w:val="center"/>
              <w:rPr>
                <w:bCs/>
                <w:sz w:val="20"/>
                <w:szCs w:val="20"/>
              </w:rPr>
            </w:pPr>
            <w:r>
              <w:rPr>
                <w:bCs/>
                <w:sz w:val="20"/>
                <w:szCs w:val="20"/>
              </w:rPr>
              <w:t>High</w:t>
            </w:r>
          </w:p>
        </w:tc>
        <w:tc>
          <w:tcPr>
            <w:tcW w:w="632" w:type="dxa"/>
            <w:tcBorders>
              <w:top w:val="single" w:sz="4" w:space="0" w:color="auto"/>
            </w:tcBorders>
            <w:shd w:val="clear" w:color="auto" w:fill="auto"/>
            <w:vAlign w:val="center"/>
          </w:tcPr>
          <w:p w14:paraId="4A9ABC64" w14:textId="77777777" w:rsidR="00112ED0" w:rsidRPr="00112ED0" w:rsidRDefault="00112ED0" w:rsidP="00055689">
            <w:pPr>
              <w:jc w:val="center"/>
              <w:rPr>
                <w:bCs/>
                <w:sz w:val="20"/>
                <w:szCs w:val="20"/>
              </w:rPr>
            </w:pPr>
            <w:r w:rsidRPr="00112ED0">
              <w:rPr>
                <w:bCs/>
                <w:sz w:val="20"/>
                <w:szCs w:val="20"/>
              </w:rPr>
              <w:t>7</w:t>
            </w:r>
          </w:p>
        </w:tc>
        <w:tc>
          <w:tcPr>
            <w:tcW w:w="605" w:type="dxa"/>
            <w:tcBorders>
              <w:top w:val="single" w:sz="4" w:space="0" w:color="auto"/>
            </w:tcBorders>
            <w:shd w:val="clear" w:color="auto" w:fill="auto"/>
            <w:vAlign w:val="center"/>
          </w:tcPr>
          <w:p w14:paraId="2D3A380C" w14:textId="77777777" w:rsidR="00112ED0" w:rsidRPr="00112ED0" w:rsidRDefault="00112ED0" w:rsidP="00055689">
            <w:pPr>
              <w:jc w:val="center"/>
              <w:rPr>
                <w:bCs/>
                <w:sz w:val="20"/>
                <w:szCs w:val="20"/>
              </w:rPr>
            </w:pPr>
            <w:r w:rsidRPr="00112ED0">
              <w:rPr>
                <w:bCs/>
                <w:sz w:val="20"/>
                <w:szCs w:val="20"/>
              </w:rPr>
              <w:t>7.1</w:t>
            </w:r>
          </w:p>
        </w:tc>
        <w:tc>
          <w:tcPr>
            <w:tcW w:w="706" w:type="dxa"/>
            <w:tcBorders>
              <w:top w:val="single" w:sz="4" w:space="0" w:color="auto"/>
            </w:tcBorders>
            <w:shd w:val="clear" w:color="auto" w:fill="auto"/>
            <w:vAlign w:val="center"/>
          </w:tcPr>
          <w:p w14:paraId="2D84F788" w14:textId="77777777" w:rsidR="00112ED0" w:rsidRPr="00112ED0" w:rsidRDefault="00112ED0" w:rsidP="00055689">
            <w:pPr>
              <w:jc w:val="center"/>
              <w:rPr>
                <w:bCs/>
                <w:sz w:val="20"/>
                <w:szCs w:val="20"/>
              </w:rPr>
            </w:pPr>
            <w:r w:rsidRPr="00112ED0">
              <w:rPr>
                <w:bCs/>
                <w:sz w:val="20"/>
                <w:szCs w:val="20"/>
              </w:rPr>
              <w:t>26</w:t>
            </w:r>
          </w:p>
        </w:tc>
        <w:tc>
          <w:tcPr>
            <w:tcW w:w="607" w:type="dxa"/>
            <w:tcBorders>
              <w:top w:val="single" w:sz="4" w:space="0" w:color="auto"/>
            </w:tcBorders>
            <w:shd w:val="clear" w:color="auto" w:fill="auto"/>
            <w:vAlign w:val="center"/>
          </w:tcPr>
          <w:p w14:paraId="6118E7B5" w14:textId="77777777" w:rsidR="00112ED0" w:rsidRPr="00112ED0" w:rsidRDefault="00112ED0" w:rsidP="00055689">
            <w:pPr>
              <w:jc w:val="center"/>
              <w:rPr>
                <w:bCs/>
                <w:sz w:val="20"/>
                <w:szCs w:val="20"/>
              </w:rPr>
            </w:pPr>
            <w:r w:rsidRPr="00112ED0">
              <w:rPr>
                <w:bCs/>
                <w:sz w:val="20"/>
                <w:szCs w:val="20"/>
              </w:rPr>
              <w:t>70.3</w:t>
            </w:r>
          </w:p>
        </w:tc>
        <w:tc>
          <w:tcPr>
            <w:tcW w:w="650" w:type="dxa"/>
            <w:tcBorders>
              <w:top w:val="single" w:sz="4" w:space="0" w:color="auto"/>
            </w:tcBorders>
            <w:shd w:val="clear" w:color="auto" w:fill="auto"/>
          </w:tcPr>
          <w:p w14:paraId="137DF9A7" w14:textId="77777777" w:rsidR="00112ED0" w:rsidRPr="00112ED0" w:rsidRDefault="00112ED0" w:rsidP="00055689">
            <w:pPr>
              <w:jc w:val="center"/>
              <w:rPr>
                <w:bCs/>
                <w:sz w:val="20"/>
                <w:szCs w:val="20"/>
              </w:rPr>
            </w:pPr>
            <w:r w:rsidRPr="00112ED0">
              <w:rPr>
                <w:bCs/>
                <w:sz w:val="20"/>
                <w:szCs w:val="20"/>
              </w:rPr>
              <w:t>6</w:t>
            </w:r>
          </w:p>
        </w:tc>
        <w:tc>
          <w:tcPr>
            <w:tcW w:w="387" w:type="dxa"/>
            <w:tcBorders>
              <w:top w:val="single" w:sz="4" w:space="0" w:color="auto"/>
            </w:tcBorders>
            <w:shd w:val="clear" w:color="auto" w:fill="auto"/>
          </w:tcPr>
          <w:p w14:paraId="62DF288C" w14:textId="77777777" w:rsidR="00112ED0" w:rsidRPr="00112ED0" w:rsidRDefault="00112ED0" w:rsidP="00055689">
            <w:pPr>
              <w:jc w:val="center"/>
              <w:rPr>
                <w:bCs/>
                <w:sz w:val="20"/>
                <w:szCs w:val="20"/>
              </w:rPr>
            </w:pPr>
            <w:r w:rsidRPr="00112ED0">
              <w:rPr>
                <w:bCs/>
                <w:sz w:val="20"/>
                <w:szCs w:val="20"/>
              </w:rPr>
              <w:t>60</w:t>
            </w:r>
          </w:p>
        </w:tc>
        <w:tc>
          <w:tcPr>
            <w:tcW w:w="822" w:type="dxa"/>
            <w:tcBorders>
              <w:top w:val="single" w:sz="4" w:space="0" w:color="auto"/>
            </w:tcBorders>
            <w:shd w:val="clear" w:color="auto" w:fill="auto"/>
            <w:vAlign w:val="center"/>
          </w:tcPr>
          <w:p w14:paraId="26237B7F" w14:textId="77777777" w:rsidR="00112ED0" w:rsidRPr="00112ED0" w:rsidRDefault="00112ED0" w:rsidP="00055689">
            <w:pPr>
              <w:jc w:val="center"/>
              <w:rPr>
                <w:bCs/>
                <w:sz w:val="20"/>
                <w:szCs w:val="20"/>
              </w:rPr>
            </w:pPr>
            <w:r w:rsidRPr="00112ED0">
              <w:rPr>
                <w:bCs/>
                <w:sz w:val="20"/>
                <w:szCs w:val="20"/>
              </w:rPr>
              <w:t>39</w:t>
            </w:r>
          </w:p>
        </w:tc>
        <w:tc>
          <w:tcPr>
            <w:tcW w:w="420" w:type="dxa"/>
            <w:tcBorders>
              <w:top w:val="single" w:sz="4" w:space="0" w:color="auto"/>
            </w:tcBorders>
            <w:shd w:val="clear" w:color="auto" w:fill="auto"/>
            <w:vAlign w:val="center"/>
          </w:tcPr>
          <w:p w14:paraId="3A457B8C" w14:textId="77777777" w:rsidR="00112ED0" w:rsidRPr="00112ED0" w:rsidRDefault="00112ED0" w:rsidP="00055689">
            <w:pPr>
              <w:jc w:val="center"/>
              <w:rPr>
                <w:bCs/>
                <w:sz w:val="20"/>
                <w:szCs w:val="20"/>
              </w:rPr>
            </w:pPr>
            <w:r w:rsidRPr="00112ED0">
              <w:rPr>
                <w:bCs/>
                <w:sz w:val="20"/>
                <w:szCs w:val="20"/>
              </w:rPr>
              <w:t>26.9</w:t>
            </w:r>
          </w:p>
        </w:tc>
        <w:tc>
          <w:tcPr>
            <w:tcW w:w="1209" w:type="dxa"/>
            <w:vMerge w:val="restart"/>
            <w:tcBorders>
              <w:top w:val="single" w:sz="4" w:space="0" w:color="auto"/>
            </w:tcBorders>
            <w:shd w:val="clear" w:color="auto" w:fill="auto"/>
            <w:vAlign w:val="center"/>
          </w:tcPr>
          <w:p w14:paraId="16A17D7B" w14:textId="2BD469C2" w:rsidR="00112ED0" w:rsidRPr="00112ED0" w:rsidRDefault="00112ED0" w:rsidP="00055689">
            <w:pPr>
              <w:jc w:val="center"/>
              <w:rPr>
                <w:bCs/>
                <w:sz w:val="20"/>
                <w:szCs w:val="20"/>
              </w:rPr>
            </w:pPr>
            <w:r w:rsidRPr="00112ED0">
              <w:rPr>
                <w:bCs/>
                <w:sz w:val="20"/>
                <w:szCs w:val="20"/>
              </w:rPr>
              <w:t>0</w:t>
            </w:r>
            <w:r>
              <w:rPr>
                <w:bCs/>
                <w:sz w:val="20"/>
                <w:szCs w:val="20"/>
              </w:rPr>
              <w:t>.</w:t>
            </w:r>
            <w:r w:rsidRPr="00112ED0">
              <w:rPr>
                <w:bCs/>
                <w:sz w:val="20"/>
                <w:szCs w:val="20"/>
              </w:rPr>
              <w:t>000</w:t>
            </w:r>
          </w:p>
        </w:tc>
      </w:tr>
      <w:tr w:rsidR="00112ED0" w:rsidRPr="00112ED0" w14:paraId="59200748" w14:textId="77777777" w:rsidTr="00112ED0">
        <w:tc>
          <w:tcPr>
            <w:tcW w:w="1345" w:type="dxa"/>
            <w:vMerge/>
            <w:shd w:val="clear" w:color="auto" w:fill="auto"/>
          </w:tcPr>
          <w:p w14:paraId="5998C67E" w14:textId="77777777" w:rsidR="00112ED0" w:rsidRPr="00112ED0" w:rsidRDefault="00112ED0" w:rsidP="00055689">
            <w:pPr>
              <w:jc w:val="center"/>
              <w:rPr>
                <w:bCs/>
                <w:sz w:val="20"/>
                <w:szCs w:val="20"/>
              </w:rPr>
            </w:pPr>
          </w:p>
        </w:tc>
        <w:tc>
          <w:tcPr>
            <w:tcW w:w="1724" w:type="dxa"/>
            <w:shd w:val="clear" w:color="auto" w:fill="auto"/>
          </w:tcPr>
          <w:p w14:paraId="5503A544" w14:textId="467BE20F" w:rsidR="00112ED0" w:rsidRPr="00112ED0" w:rsidRDefault="00112ED0" w:rsidP="00055689">
            <w:pPr>
              <w:jc w:val="center"/>
              <w:rPr>
                <w:bCs/>
                <w:sz w:val="20"/>
                <w:szCs w:val="20"/>
              </w:rPr>
            </w:pPr>
            <w:r>
              <w:rPr>
                <w:bCs/>
                <w:sz w:val="20"/>
                <w:szCs w:val="20"/>
              </w:rPr>
              <w:t>Low</w:t>
            </w:r>
          </w:p>
        </w:tc>
        <w:tc>
          <w:tcPr>
            <w:tcW w:w="632" w:type="dxa"/>
            <w:shd w:val="clear" w:color="auto" w:fill="auto"/>
            <w:vAlign w:val="center"/>
          </w:tcPr>
          <w:p w14:paraId="07E80536" w14:textId="77777777" w:rsidR="00112ED0" w:rsidRPr="00112ED0" w:rsidRDefault="00112ED0" w:rsidP="00055689">
            <w:pPr>
              <w:jc w:val="center"/>
              <w:rPr>
                <w:bCs/>
                <w:sz w:val="20"/>
                <w:szCs w:val="20"/>
              </w:rPr>
            </w:pPr>
            <w:r w:rsidRPr="00112ED0">
              <w:rPr>
                <w:bCs/>
                <w:sz w:val="20"/>
                <w:szCs w:val="20"/>
              </w:rPr>
              <w:t>91</w:t>
            </w:r>
          </w:p>
        </w:tc>
        <w:tc>
          <w:tcPr>
            <w:tcW w:w="605" w:type="dxa"/>
            <w:shd w:val="clear" w:color="auto" w:fill="auto"/>
            <w:vAlign w:val="center"/>
          </w:tcPr>
          <w:p w14:paraId="6B1CA47C" w14:textId="77777777" w:rsidR="00112ED0" w:rsidRPr="00112ED0" w:rsidRDefault="00112ED0" w:rsidP="00055689">
            <w:pPr>
              <w:jc w:val="center"/>
              <w:rPr>
                <w:bCs/>
                <w:sz w:val="20"/>
                <w:szCs w:val="20"/>
              </w:rPr>
            </w:pPr>
            <w:r w:rsidRPr="00112ED0">
              <w:rPr>
                <w:bCs/>
                <w:sz w:val="20"/>
                <w:szCs w:val="20"/>
              </w:rPr>
              <w:t>92.9</w:t>
            </w:r>
          </w:p>
        </w:tc>
        <w:tc>
          <w:tcPr>
            <w:tcW w:w="706" w:type="dxa"/>
            <w:shd w:val="clear" w:color="auto" w:fill="auto"/>
            <w:vAlign w:val="center"/>
          </w:tcPr>
          <w:p w14:paraId="44DF07E8" w14:textId="77777777" w:rsidR="00112ED0" w:rsidRPr="00112ED0" w:rsidRDefault="00112ED0" w:rsidP="00055689">
            <w:pPr>
              <w:jc w:val="center"/>
              <w:rPr>
                <w:bCs/>
                <w:sz w:val="20"/>
                <w:szCs w:val="20"/>
              </w:rPr>
            </w:pPr>
            <w:r w:rsidRPr="00112ED0">
              <w:rPr>
                <w:bCs/>
                <w:sz w:val="20"/>
                <w:szCs w:val="20"/>
              </w:rPr>
              <w:t>11</w:t>
            </w:r>
          </w:p>
        </w:tc>
        <w:tc>
          <w:tcPr>
            <w:tcW w:w="607" w:type="dxa"/>
            <w:shd w:val="clear" w:color="auto" w:fill="auto"/>
            <w:vAlign w:val="center"/>
          </w:tcPr>
          <w:p w14:paraId="3B3F279F" w14:textId="77777777" w:rsidR="00112ED0" w:rsidRPr="00112ED0" w:rsidRDefault="00112ED0" w:rsidP="00055689">
            <w:pPr>
              <w:jc w:val="center"/>
              <w:rPr>
                <w:bCs/>
                <w:sz w:val="20"/>
                <w:szCs w:val="20"/>
              </w:rPr>
            </w:pPr>
            <w:r w:rsidRPr="00112ED0">
              <w:rPr>
                <w:bCs/>
                <w:sz w:val="20"/>
                <w:szCs w:val="20"/>
              </w:rPr>
              <w:t>29.7</w:t>
            </w:r>
          </w:p>
        </w:tc>
        <w:tc>
          <w:tcPr>
            <w:tcW w:w="650" w:type="dxa"/>
            <w:shd w:val="clear" w:color="auto" w:fill="auto"/>
          </w:tcPr>
          <w:p w14:paraId="00DFDE86" w14:textId="77777777" w:rsidR="00112ED0" w:rsidRPr="00112ED0" w:rsidRDefault="00112ED0" w:rsidP="00055689">
            <w:pPr>
              <w:jc w:val="center"/>
              <w:rPr>
                <w:bCs/>
                <w:sz w:val="20"/>
                <w:szCs w:val="20"/>
              </w:rPr>
            </w:pPr>
            <w:r w:rsidRPr="00112ED0">
              <w:rPr>
                <w:bCs/>
                <w:sz w:val="20"/>
                <w:szCs w:val="20"/>
              </w:rPr>
              <w:t>4</w:t>
            </w:r>
          </w:p>
        </w:tc>
        <w:tc>
          <w:tcPr>
            <w:tcW w:w="387" w:type="dxa"/>
            <w:shd w:val="clear" w:color="auto" w:fill="auto"/>
          </w:tcPr>
          <w:p w14:paraId="27687367" w14:textId="77777777" w:rsidR="00112ED0" w:rsidRPr="00112ED0" w:rsidRDefault="00112ED0" w:rsidP="00055689">
            <w:pPr>
              <w:jc w:val="center"/>
              <w:rPr>
                <w:bCs/>
                <w:sz w:val="20"/>
                <w:szCs w:val="20"/>
              </w:rPr>
            </w:pPr>
            <w:r w:rsidRPr="00112ED0">
              <w:rPr>
                <w:bCs/>
                <w:sz w:val="20"/>
                <w:szCs w:val="20"/>
              </w:rPr>
              <w:t>40</w:t>
            </w:r>
          </w:p>
        </w:tc>
        <w:tc>
          <w:tcPr>
            <w:tcW w:w="822" w:type="dxa"/>
            <w:shd w:val="clear" w:color="auto" w:fill="auto"/>
            <w:vAlign w:val="center"/>
          </w:tcPr>
          <w:p w14:paraId="6D1FFD26" w14:textId="77777777" w:rsidR="00112ED0" w:rsidRPr="00112ED0" w:rsidRDefault="00112ED0" w:rsidP="00055689">
            <w:pPr>
              <w:jc w:val="center"/>
              <w:rPr>
                <w:bCs/>
                <w:sz w:val="20"/>
                <w:szCs w:val="20"/>
              </w:rPr>
            </w:pPr>
            <w:r w:rsidRPr="00112ED0">
              <w:rPr>
                <w:bCs/>
                <w:sz w:val="20"/>
                <w:szCs w:val="20"/>
              </w:rPr>
              <w:t>106</w:t>
            </w:r>
          </w:p>
        </w:tc>
        <w:tc>
          <w:tcPr>
            <w:tcW w:w="420" w:type="dxa"/>
            <w:shd w:val="clear" w:color="auto" w:fill="auto"/>
            <w:vAlign w:val="center"/>
          </w:tcPr>
          <w:p w14:paraId="7F3F9220" w14:textId="77777777" w:rsidR="00112ED0" w:rsidRPr="00112ED0" w:rsidRDefault="00112ED0" w:rsidP="00055689">
            <w:pPr>
              <w:jc w:val="center"/>
              <w:rPr>
                <w:bCs/>
                <w:sz w:val="20"/>
                <w:szCs w:val="20"/>
              </w:rPr>
            </w:pPr>
            <w:r w:rsidRPr="00112ED0">
              <w:rPr>
                <w:bCs/>
                <w:sz w:val="20"/>
                <w:szCs w:val="20"/>
              </w:rPr>
              <w:t>73.1</w:t>
            </w:r>
          </w:p>
        </w:tc>
        <w:tc>
          <w:tcPr>
            <w:tcW w:w="1209" w:type="dxa"/>
            <w:vMerge/>
            <w:shd w:val="clear" w:color="auto" w:fill="auto"/>
          </w:tcPr>
          <w:p w14:paraId="44D5CCD6" w14:textId="77777777" w:rsidR="00112ED0" w:rsidRPr="00112ED0" w:rsidRDefault="00112ED0" w:rsidP="00055689">
            <w:pPr>
              <w:jc w:val="center"/>
              <w:rPr>
                <w:bCs/>
                <w:sz w:val="20"/>
                <w:szCs w:val="20"/>
              </w:rPr>
            </w:pPr>
          </w:p>
        </w:tc>
      </w:tr>
      <w:tr w:rsidR="00112ED0" w:rsidRPr="00112ED0" w14:paraId="1A85340B" w14:textId="77777777" w:rsidTr="00112ED0">
        <w:tc>
          <w:tcPr>
            <w:tcW w:w="1345" w:type="dxa"/>
            <w:tcBorders>
              <w:bottom w:val="single" w:sz="4" w:space="0" w:color="auto"/>
            </w:tcBorders>
            <w:shd w:val="clear" w:color="auto" w:fill="auto"/>
          </w:tcPr>
          <w:p w14:paraId="3CC43152" w14:textId="77777777" w:rsidR="00112ED0" w:rsidRPr="00112ED0" w:rsidRDefault="00112ED0" w:rsidP="00055689">
            <w:pPr>
              <w:rPr>
                <w:b/>
                <w:sz w:val="20"/>
                <w:szCs w:val="20"/>
              </w:rPr>
            </w:pPr>
          </w:p>
        </w:tc>
        <w:tc>
          <w:tcPr>
            <w:tcW w:w="1724" w:type="dxa"/>
            <w:tcBorders>
              <w:top w:val="single" w:sz="4" w:space="0" w:color="auto"/>
              <w:bottom w:val="single" w:sz="4" w:space="0" w:color="auto"/>
            </w:tcBorders>
            <w:shd w:val="clear" w:color="auto" w:fill="auto"/>
          </w:tcPr>
          <w:p w14:paraId="4DA4DA4D" w14:textId="77777777" w:rsidR="00112ED0" w:rsidRPr="00112ED0" w:rsidRDefault="00112ED0" w:rsidP="00055689">
            <w:pPr>
              <w:jc w:val="center"/>
              <w:rPr>
                <w:b/>
                <w:sz w:val="20"/>
                <w:szCs w:val="20"/>
              </w:rPr>
            </w:pPr>
            <w:r w:rsidRPr="00112ED0">
              <w:rPr>
                <w:b/>
                <w:sz w:val="20"/>
                <w:szCs w:val="20"/>
              </w:rPr>
              <w:t>Total</w:t>
            </w:r>
          </w:p>
        </w:tc>
        <w:tc>
          <w:tcPr>
            <w:tcW w:w="632" w:type="dxa"/>
            <w:tcBorders>
              <w:top w:val="single" w:sz="4" w:space="0" w:color="auto"/>
              <w:bottom w:val="single" w:sz="4" w:space="0" w:color="auto"/>
            </w:tcBorders>
            <w:shd w:val="clear" w:color="auto" w:fill="auto"/>
            <w:vAlign w:val="center"/>
          </w:tcPr>
          <w:p w14:paraId="485788B3" w14:textId="77777777" w:rsidR="00112ED0" w:rsidRPr="00112ED0" w:rsidRDefault="00112ED0" w:rsidP="00055689">
            <w:pPr>
              <w:jc w:val="center"/>
              <w:rPr>
                <w:b/>
                <w:sz w:val="20"/>
                <w:szCs w:val="20"/>
              </w:rPr>
            </w:pPr>
            <w:r w:rsidRPr="00112ED0">
              <w:rPr>
                <w:b/>
                <w:sz w:val="20"/>
                <w:szCs w:val="20"/>
              </w:rPr>
              <w:t>98</w:t>
            </w:r>
          </w:p>
        </w:tc>
        <w:tc>
          <w:tcPr>
            <w:tcW w:w="605" w:type="dxa"/>
            <w:tcBorders>
              <w:top w:val="single" w:sz="4" w:space="0" w:color="auto"/>
              <w:bottom w:val="single" w:sz="4" w:space="0" w:color="auto"/>
            </w:tcBorders>
            <w:shd w:val="clear" w:color="auto" w:fill="auto"/>
            <w:vAlign w:val="center"/>
          </w:tcPr>
          <w:p w14:paraId="612414DD" w14:textId="77777777" w:rsidR="00112ED0" w:rsidRPr="00112ED0" w:rsidRDefault="00112ED0" w:rsidP="00055689">
            <w:pPr>
              <w:jc w:val="center"/>
              <w:rPr>
                <w:b/>
                <w:sz w:val="20"/>
                <w:szCs w:val="20"/>
              </w:rPr>
            </w:pPr>
            <w:r w:rsidRPr="00112ED0">
              <w:rPr>
                <w:b/>
                <w:sz w:val="20"/>
                <w:szCs w:val="20"/>
              </w:rPr>
              <w:t>100</w:t>
            </w:r>
          </w:p>
        </w:tc>
        <w:tc>
          <w:tcPr>
            <w:tcW w:w="706" w:type="dxa"/>
            <w:tcBorders>
              <w:top w:val="single" w:sz="4" w:space="0" w:color="auto"/>
              <w:bottom w:val="single" w:sz="4" w:space="0" w:color="auto"/>
            </w:tcBorders>
            <w:shd w:val="clear" w:color="auto" w:fill="auto"/>
            <w:vAlign w:val="center"/>
          </w:tcPr>
          <w:p w14:paraId="40415A52" w14:textId="77777777" w:rsidR="00112ED0" w:rsidRPr="00112ED0" w:rsidRDefault="00112ED0" w:rsidP="00055689">
            <w:pPr>
              <w:jc w:val="center"/>
              <w:rPr>
                <w:b/>
                <w:sz w:val="20"/>
                <w:szCs w:val="20"/>
              </w:rPr>
            </w:pPr>
            <w:r w:rsidRPr="00112ED0">
              <w:rPr>
                <w:b/>
                <w:sz w:val="20"/>
                <w:szCs w:val="20"/>
              </w:rPr>
              <w:t>37</w:t>
            </w:r>
          </w:p>
        </w:tc>
        <w:tc>
          <w:tcPr>
            <w:tcW w:w="607" w:type="dxa"/>
            <w:tcBorders>
              <w:top w:val="single" w:sz="4" w:space="0" w:color="auto"/>
              <w:bottom w:val="single" w:sz="4" w:space="0" w:color="auto"/>
            </w:tcBorders>
            <w:shd w:val="clear" w:color="auto" w:fill="auto"/>
            <w:vAlign w:val="center"/>
          </w:tcPr>
          <w:p w14:paraId="2632D52E" w14:textId="77777777" w:rsidR="00112ED0" w:rsidRPr="00112ED0" w:rsidRDefault="00112ED0" w:rsidP="00055689">
            <w:pPr>
              <w:jc w:val="center"/>
              <w:rPr>
                <w:b/>
                <w:sz w:val="20"/>
                <w:szCs w:val="20"/>
              </w:rPr>
            </w:pPr>
            <w:r w:rsidRPr="00112ED0">
              <w:rPr>
                <w:b/>
                <w:sz w:val="20"/>
                <w:szCs w:val="20"/>
              </w:rPr>
              <w:t>100</w:t>
            </w:r>
          </w:p>
        </w:tc>
        <w:tc>
          <w:tcPr>
            <w:tcW w:w="650" w:type="dxa"/>
            <w:tcBorders>
              <w:top w:val="single" w:sz="4" w:space="0" w:color="auto"/>
              <w:bottom w:val="single" w:sz="4" w:space="0" w:color="auto"/>
            </w:tcBorders>
            <w:shd w:val="clear" w:color="auto" w:fill="auto"/>
          </w:tcPr>
          <w:p w14:paraId="072913F1" w14:textId="77777777" w:rsidR="00112ED0" w:rsidRPr="00112ED0" w:rsidRDefault="00112ED0" w:rsidP="00055689">
            <w:pPr>
              <w:jc w:val="center"/>
              <w:rPr>
                <w:b/>
                <w:sz w:val="20"/>
                <w:szCs w:val="20"/>
              </w:rPr>
            </w:pPr>
            <w:r w:rsidRPr="00112ED0">
              <w:rPr>
                <w:b/>
                <w:sz w:val="20"/>
                <w:szCs w:val="20"/>
              </w:rPr>
              <w:t>10</w:t>
            </w:r>
          </w:p>
        </w:tc>
        <w:tc>
          <w:tcPr>
            <w:tcW w:w="387" w:type="dxa"/>
            <w:tcBorders>
              <w:top w:val="single" w:sz="4" w:space="0" w:color="auto"/>
              <w:bottom w:val="single" w:sz="4" w:space="0" w:color="auto"/>
            </w:tcBorders>
            <w:shd w:val="clear" w:color="auto" w:fill="auto"/>
          </w:tcPr>
          <w:p w14:paraId="4DEEA9F1" w14:textId="77777777" w:rsidR="00112ED0" w:rsidRPr="00112ED0" w:rsidRDefault="00112ED0" w:rsidP="00055689">
            <w:pPr>
              <w:jc w:val="center"/>
              <w:rPr>
                <w:b/>
                <w:sz w:val="20"/>
                <w:szCs w:val="20"/>
              </w:rPr>
            </w:pPr>
            <w:r w:rsidRPr="00112ED0">
              <w:rPr>
                <w:b/>
                <w:sz w:val="20"/>
                <w:szCs w:val="20"/>
              </w:rPr>
              <w:t>100</w:t>
            </w:r>
          </w:p>
        </w:tc>
        <w:tc>
          <w:tcPr>
            <w:tcW w:w="822" w:type="dxa"/>
            <w:tcBorders>
              <w:top w:val="single" w:sz="4" w:space="0" w:color="auto"/>
              <w:bottom w:val="single" w:sz="4" w:space="0" w:color="auto"/>
            </w:tcBorders>
            <w:shd w:val="clear" w:color="auto" w:fill="auto"/>
            <w:vAlign w:val="center"/>
          </w:tcPr>
          <w:p w14:paraId="57FA4E87" w14:textId="77777777" w:rsidR="00112ED0" w:rsidRPr="00112ED0" w:rsidRDefault="00112ED0" w:rsidP="00055689">
            <w:pPr>
              <w:jc w:val="center"/>
              <w:rPr>
                <w:b/>
                <w:sz w:val="20"/>
                <w:szCs w:val="20"/>
              </w:rPr>
            </w:pPr>
            <w:r w:rsidRPr="00112ED0">
              <w:rPr>
                <w:b/>
                <w:sz w:val="20"/>
                <w:szCs w:val="20"/>
              </w:rPr>
              <w:t>145</w:t>
            </w:r>
          </w:p>
        </w:tc>
        <w:tc>
          <w:tcPr>
            <w:tcW w:w="420" w:type="dxa"/>
            <w:tcBorders>
              <w:top w:val="single" w:sz="4" w:space="0" w:color="auto"/>
              <w:bottom w:val="single" w:sz="4" w:space="0" w:color="auto"/>
            </w:tcBorders>
            <w:shd w:val="clear" w:color="auto" w:fill="auto"/>
            <w:vAlign w:val="center"/>
          </w:tcPr>
          <w:p w14:paraId="38A371ED" w14:textId="77777777" w:rsidR="00112ED0" w:rsidRPr="00112ED0" w:rsidRDefault="00112ED0" w:rsidP="00055689">
            <w:pPr>
              <w:jc w:val="center"/>
              <w:rPr>
                <w:b/>
                <w:sz w:val="20"/>
                <w:szCs w:val="20"/>
              </w:rPr>
            </w:pPr>
            <w:r w:rsidRPr="00112ED0">
              <w:rPr>
                <w:b/>
                <w:sz w:val="20"/>
                <w:szCs w:val="20"/>
              </w:rPr>
              <w:t>100</w:t>
            </w:r>
          </w:p>
        </w:tc>
        <w:tc>
          <w:tcPr>
            <w:tcW w:w="1209" w:type="dxa"/>
            <w:tcBorders>
              <w:top w:val="single" w:sz="4" w:space="0" w:color="auto"/>
              <w:bottom w:val="single" w:sz="4" w:space="0" w:color="auto"/>
            </w:tcBorders>
            <w:shd w:val="clear" w:color="auto" w:fill="auto"/>
          </w:tcPr>
          <w:p w14:paraId="7156659D" w14:textId="77777777" w:rsidR="00112ED0" w:rsidRPr="00112ED0" w:rsidRDefault="00112ED0" w:rsidP="00055689">
            <w:pPr>
              <w:jc w:val="center"/>
              <w:rPr>
                <w:b/>
                <w:sz w:val="20"/>
                <w:szCs w:val="20"/>
              </w:rPr>
            </w:pPr>
          </w:p>
        </w:tc>
      </w:tr>
      <w:tr w:rsidR="00112ED0" w:rsidRPr="00112ED0" w14:paraId="31259776" w14:textId="77777777" w:rsidTr="00112ED0">
        <w:tc>
          <w:tcPr>
            <w:tcW w:w="1345" w:type="dxa"/>
            <w:vMerge w:val="restart"/>
            <w:tcBorders>
              <w:top w:val="single" w:sz="4" w:space="0" w:color="auto"/>
            </w:tcBorders>
            <w:shd w:val="clear" w:color="auto" w:fill="auto"/>
          </w:tcPr>
          <w:p w14:paraId="032A5527" w14:textId="46F372F1" w:rsidR="00112ED0" w:rsidRPr="00112ED0" w:rsidRDefault="00112ED0" w:rsidP="00055689">
            <w:pPr>
              <w:jc w:val="center"/>
              <w:rPr>
                <w:bCs/>
                <w:sz w:val="20"/>
                <w:szCs w:val="20"/>
              </w:rPr>
            </w:pPr>
            <w:r>
              <w:rPr>
                <w:bCs/>
                <w:sz w:val="20"/>
                <w:szCs w:val="20"/>
              </w:rPr>
              <w:t>Informational Support</w:t>
            </w:r>
          </w:p>
        </w:tc>
        <w:tc>
          <w:tcPr>
            <w:tcW w:w="1724" w:type="dxa"/>
            <w:tcBorders>
              <w:top w:val="single" w:sz="4" w:space="0" w:color="auto"/>
            </w:tcBorders>
            <w:shd w:val="clear" w:color="auto" w:fill="auto"/>
          </w:tcPr>
          <w:p w14:paraId="0A1173C4" w14:textId="12B69E1B" w:rsidR="00112ED0" w:rsidRPr="00112ED0" w:rsidRDefault="00112ED0" w:rsidP="00055689">
            <w:pPr>
              <w:jc w:val="center"/>
              <w:rPr>
                <w:bCs/>
                <w:sz w:val="20"/>
                <w:szCs w:val="20"/>
              </w:rPr>
            </w:pPr>
            <w:r>
              <w:rPr>
                <w:bCs/>
                <w:sz w:val="20"/>
                <w:szCs w:val="20"/>
              </w:rPr>
              <w:t>High</w:t>
            </w:r>
          </w:p>
        </w:tc>
        <w:tc>
          <w:tcPr>
            <w:tcW w:w="632" w:type="dxa"/>
            <w:tcBorders>
              <w:top w:val="single" w:sz="4" w:space="0" w:color="auto"/>
            </w:tcBorders>
            <w:shd w:val="clear" w:color="auto" w:fill="auto"/>
            <w:vAlign w:val="center"/>
          </w:tcPr>
          <w:p w14:paraId="5A92DB54" w14:textId="77777777" w:rsidR="00112ED0" w:rsidRPr="00112ED0" w:rsidRDefault="00112ED0" w:rsidP="00055689">
            <w:pPr>
              <w:jc w:val="center"/>
              <w:rPr>
                <w:bCs/>
                <w:sz w:val="20"/>
                <w:szCs w:val="20"/>
              </w:rPr>
            </w:pPr>
            <w:r w:rsidRPr="00112ED0">
              <w:rPr>
                <w:bCs/>
                <w:sz w:val="20"/>
                <w:szCs w:val="20"/>
              </w:rPr>
              <w:t>14</w:t>
            </w:r>
          </w:p>
        </w:tc>
        <w:tc>
          <w:tcPr>
            <w:tcW w:w="605" w:type="dxa"/>
            <w:tcBorders>
              <w:top w:val="single" w:sz="4" w:space="0" w:color="auto"/>
            </w:tcBorders>
            <w:shd w:val="clear" w:color="auto" w:fill="auto"/>
            <w:vAlign w:val="center"/>
          </w:tcPr>
          <w:p w14:paraId="4EF50E08" w14:textId="77777777" w:rsidR="00112ED0" w:rsidRPr="00112ED0" w:rsidRDefault="00112ED0" w:rsidP="00055689">
            <w:pPr>
              <w:jc w:val="center"/>
              <w:rPr>
                <w:bCs/>
                <w:sz w:val="20"/>
                <w:szCs w:val="20"/>
              </w:rPr>
            </w:pPr>
            <w:r w:rsidRPr="00112ED0">
              <w:rPr>
                <w:bCs/>
                <w:sz w:val="20"/>
                <w:szCs w:val="20"/>
              </w:rPr>
              <w:t>14.3</w:t>
            </w:r>
          </w:p>
        </w:tc>
        <w:tc>
          <w:tcPr>
            <w:tcW w:w="706" w:type="dxa"/>
            <w:tcBorders>
              <w:top w:val="single" w:sz="4" w:space="0" w:color="auto"/>
            </w:tcBorders>
            <w:shd w:val="clear" w:color="auto" w:fill="auto"/>
            <w:vAlign w:val="center"/>
          </w:tcPr>
          <w:p w14:paraId="2A28225F" w14:textId="77777777" w:rsidR="00112ED0" w:rsidRPr="00112ED0" w:rsidRDefault="00112ED0" w:rsidP="00055689">
            <w:pPr>
              <w:jc w:val="center"/>
              <w:rPr>
                <w:bCs/>
                <w:sz w:val="20"/>
                <w:szCs w:val="20"/>
              </w:rPr>
            </w:pPr>
            <w:r w:rsidRPr="00112ED0">
              <w:rPr>
                <w:bCs/>
                <w:sz w:val="20"/>
                <w:szCs w:val="20"/>
              </w:rPr>
              <w:t>7</w:t>
            </w:r>
          </w:p>
        </w:tc>
        <w:tc>
          <w:tcPr>
            <w:tcW w:w="607" w:type="dxa"/>
            <w:tcBorders>
              <w:top w:val="single" w:sz="4" w:space="0" w:color="auto"/>
            </w:tcBorders>
            <w:shd w:val="clear" w:color="auto" w:fill="auto"/>
            <w:vAlign w:val="center"/>
          </w:tcPr>
          <w:p w14:paraId="60BB6BB4" w14:textId="77777777" w:rsidR="00112ED0" w:rsidRPr="00112ED0" w:rsidRDefault="00112ED0" w:rsidP="00055689">
            <w:pPr>
              <w:jc w:val="center"/>
              <w:rPr>
                <w:bCs/>
                <w:sz w:val="20"/>
                <w:szCs w:val="20"/>
              </w:rPr>
            </w:pPr>
            <w:r w:rsidRPr="00112ED0">
              <w:rPr>
                <w:bCs/>
                <w:sz w:val="20"/>
                <w:szCs w:val="20"/>
              </w:rPr>
              <w:t>81.1</w:t>
            </w:r>
          </w:p>
        </w:tc>
        <w:tc>
          <w:tcPr>
            <w:tcW w:w="650" w:type="dxa"/>
            <w:tcBorders>
              <w:top w:val="single" w:sz="4" w:space="0" w:color="auto"/>
            </w:tcBorders>
            <w:shd w:val="clear" w:color="auto" w:fill="auto"/>
          </w:tcPr>
          <w:p w14:paraId="111FC663" w14:textId="77777777" w:rsidR="00112ED0" w:rsidRPr="00112ED0" w:rsidRDefault="00112ED0" w:rsidP="00055689">
            <w:pPr>
              <w:jc w:val="center"/>
              <w:rPr>
                <w:bCs/>
                <w:sz w:val="20"/>
                <w:szCs w:val="20"/>
              </w:rPr>
            </w:pPr>
            <w:r w:rsidRPr="00112ED0">
              <w:rPr>
                <w:bCs/>
                <w:sz w:val="20"/>
                <w:szCs w:val="20"/>
              </w:rPr>
              <w:t>5</w:t>
            </w:r>
          </w:p>
        </w:tc>
        <w:tc>
          <w:tcPr>
            <w:tcW w:w="387" w:type="dxa"/>
            <w:tcBorders>
              <w:top w:val="single" w:sz="4" w:space="0" w:color="auto"/>
            </w:tcBorders>
            <w:shd w:val="clear" w:color="auto" w:fill="auto"/>
          </w:tcPr>
          <w:p w14:paraId="0B0A9052" w14:textId="77777777" w:rsidR="00112ED0" w:rsidRPr="00112ED0" w:rsidRDefault="00112ED0" w:rsidP="00055689">
            <w:pPr>
              <w:jc w:val="center"/>
              <w:rPr>
                <w:bCs/>
                <w:sz w:val="20"/>
                <w:szCs w:val="20"/>
              </w:rPr>
            </w:pPr>
            <w:r w:rsidRPr="00112ED0">
              <w:rPr>
                <w:bCs/>
                <w:sz w:val="20"/>
                <w:szCs w:val="20"/>
              </w:rPr>
              <w:t>50</w:t>
            </w:r>
          </w:p>
        </w:tc>
        <w:tc>
          <w:tcPr>
            <w:tcW w:w="822" w:type="dxa"/>
            <w:tcBorders>
              <w:top w:val="single" w:sz="4" w:space="0" w:color="auto"/>
            </w:tcBorders>
            <w:shd w:val="clear" w:color="auto" w:fill="auto"/>
            <w:vAlign w:val="center"/>
          </w:tcPr>
          <w:p w14:paraId="2F4F50CA" w14:textId="77777777" w:rsidR="00112ED0" w:rsidRPr="00112ED0" w:rsidRDefault="00112ED0" w:rsidP="00055689">
            <w:pPr>
              <w:jc w:val="center"/>
              <w:rPr>
                <w:bCs/>
                <w:sz w:val="20"/>
                <w:szCs w:val="20"/>
              </w:rPr>
            </w:pPr>
            <w:r w:rsidRPr="00112ED0">
              <w:rPr>
                <w:bCs/>
                <w:sz w:val="20"/>
                <w:szCs w:val="20"/>
              </w:rPr>
              <w:t>26</w:t>
            </w:r>
          </w:p>
        </w:tc>
        <w:tc>
          <w:tcPr>
            <w:tcW w:w="420" w:type="dxa"/>
            <w:tcBorders>
              <w:top w:val="single" w:sz="4" w:space="0" w:color="auto"/>
            </w:tcBorders>
            <w:shd w:val="clear" w:color="auto" w:fill="auto"/>
            <w:vAlign w:val="center"/>
          </w:tcPr>
          <w:p w14:paraId="10DB154D" w14:textId="77777777" w:rsidR="00112ED0" w:rsidRPr="00112ED0" w:rsidRDefault="00112ED0" w:rsidP="00055689">
            <w:pPr>
              <w:jc w:val="center"/>
              <w:rPr>
                <w:bCs/>
                <w:sz w:val="20"/>
                <w:szCs w:val="20"/>
              </w:rPr>
            </w:pPr>
            <w:r w:rsidRPr="00112ED0">
              <w:rPr>
                <w:bCs/>
                <w:sz w:val="20"/>
                <w:szCs w:val="20"/>
              </w:rPr>
              <w:t>17.9</w:t>
            </w:r>
          </w:p>
        </w:tc>
        <w:tc>
          <w:tcPr>
            <w:tcW w:w="1209" w:type="dxa"/>
            <w:vMerge w:val="restart"/>
            <w:tcBorders>
              <w:top w:val="single" w:sz="4" w:space="0" w:color="auto"/>
            </w:tcBorders>
            <w:shd w:val="clear" w:color="auto" w:fill="auto"/>
            <w:vAlign w:val="center"/>
          </w:tcPr>
          <w:p w14:paraId="3FCCDC20" w14:textId="43179413" w:rsidR="00112ED0" w:rsidRPr="00112ED0" w:rsidRDefault="00112ED0" w:rsidP="00055689">
            <w:pPr>
              <w:jc w:val="center"/>
              <w:rPr>
                <w:bCs/>
                <w:sz w:val="20"/>
                <w:szCs w:val="20"/>
              </w:rPr>
            </w:pPr>
            <w:r w:rsidRPr="00112ED0">
              <w:rPr>
                <w:bCs/>
                <w:sz w:val="20"/>
                <w:szCs w:val="20"/>
              </w:rPr>
              <w:t>0</w:t>
            </w:r>
            <w:r>
              <w:rPr>
                <w:bCs/>
                <w:sz w:val="20"/>
                <w:szCs w:val="20"/>
              </w:rPr>
              <w:t>.</w:t>
            </w:r>
            <w:r w:rsidRPr="00112ED0">
              <w:rPr>
                <w:bCs/>
                <w:sz w:val="20"/>
                <w:szCs w:val="20"/>
              </w:rPr>
              <w:t>019</w:t>
            </w:r>
          </w:p>
        </w:tc>
      </w:tr>
      <w:tr w:rsidR="00112ED0" w:rsidRPr="00112ED0" w14:paraId="34117C10" w14:textId="77777777" w:rsidTr="00112ED0">
        <w:tc>
          <w:tcPr>
            <w:tcW w:w="1345" w:type="dxa"/>
            <w:vMerge/>
            <w:shd w:val="clear" w:color="auto" w:fill="auto"/>
          </w:tcPr>
          <w:p w14:paraId="0A30498F" w14:textId="77777777" w:rsidR="00112ED0" w:rsidRPr="00112ED0" w:rsidRDefault="00112ED0" w:rsidP="00055689">
            <w:pPr>
              <w:jc w:val="center"/>
              <w:rPr>
                <w:bCs/>
                <w:sz w:val="20"/>
                <w:szCs w:val="20"/>
              </w:rPr>
            </w:pPr>
          </w:p>
        </w:tc>
        <w:tc>
          <w:tcPr>
            <w:tcW w:w="1724" w:type="dxa"/>
            <w:shd w:val="clear" w:color="auto" w:fill="auto"/>
          </w:tcPr>
          <w:p w14:paraId="7982B58F" w14:textId="761A8B5D" w:rsidR="00112ED0" w:rsidRPr="00112ED0" w:rsidRDefault="00112ED0" w:rsidP="00055689">
            <w:pPr>
              <w:jc w:val="center"/>
              <w:rPr>
                <w:bCs/>
                <w:sz w:val="20"/>
                <w:szCs w:val="20"/>
              </w:rPr>
            </w:pPr>
            <w:r>
              <w:rPr>
                <w:bCs/>
                <w:sz w:val="20"/>
                <w:szCs w:val="20"/>
              </w:rPr>
              <w:t>Low</w:t>
            </w:r>
          </w:p>
        </w:tc>
        <w:tc>
          <w:tcPr>
            <w:tcW w:w="632" w:type="dxa"/>
            <w:shd w:val="clear" w:color="auto" w:fill="auto"/>
            <w:vAlign w:val="center"/>
          </w:tcPr>
          <w:p w14:paraId="267C1B26" w14:textId="77777777" w:rsidR="00112ED0" w:rsidRPr="00112ED0" w:rsidRDefault="00112ED0" w:rsidP="00055689">
            <w:pPr>
              <w:jc w:val="center"/>
              <w:rPr>
                <w:bCs/>
                <w:sz w:val="20"/>
                <w:szCs w:val="20"/>
              </w:rPr>
            </w:pPr>
            <w:r w:rsidRPr="00112ED0">
              <w:rPr>
                <w:bCs/>
                <w:sz w:val="20"/>
                <w:szCs w:val="20"/>
              </w:rPr>
              <w:t>84</w:t>
            </w:r>
          </w:p>
        </w:tc>
        <w:tc>
          <w:tcPr>
            <w:tcW w:w="605" w:type="dxa"/>
            <w:shd w:val="clear" w:color="auto" w:fill="auto"/>
            <w:vAlign w:val="center"/>
          </w:tcPr>
          <w:p w14:paraId="022A3F60" w14:textId="77777777" w:rsidR="00112ED0" w:rsidRPr="00112ED0" w:rsidRDefault="00112ED0" w:rsidP="00055689">
            <w:pPr>
              <w:jc w:val="center"/>
              <w:rPr>
                <w:bCs/>
                <w:sz w:val="20"/>
                <w:szCs w:val="20"/>
              </w:rPr>
            </w:pPr>
            <w:r w:rsidRPr="00112ED0">
              <w:rPr>
                <w:bCs/>
                <w:sz w:val="20"/>
                <w:szCs w:val="20"/>
              </w:rPr>
              <w:t>85.7</w:t>
            </w:r>
          </w:p>
        </w:tc>
        <w:tc>
          <w:tcPr>
            <w:tcW w:w="706" w:type="dxa"/>
            <w:shd w:val="clear" w:color="auto" w:fill="auto"/>
            <w:vAlign w:val="center"/>
          </w:tcPr>
          <w:p w14:paraId="29CDECB1" w14:textId="77777777" w:rsidR="00112ED0" w:rsidRPr="00112ED0" w:rsidRDefault="00112ED0" w:rsidP="00055689">
            <w:pPr>
              <w:jc w:val="center"/>
              <w:rPr>
                <w:bCs/>
                <w:sz w:val="20"/>
                <w:szCs w:val="20"/>
              </w:rPr>
            </w:pPr>
            <w:r w:rsidRPr="00112ED0">
              <w:rPr>
                <w:bCs/>
                <w:sz w:val="20"/>
                <w:szCs w:val="20"/>
              </w:rPr>
              <w:t>30</w:t>
            </w:r>
          </w:p>
        </w:tc>
        <w:tc>
          <w:tcPr>
            <w:tcW w:w="607" w:type="dxa"/>
            <w:shd w:val="clear" w:color="auto" w:fill="auto"/>
            <w:vAlign w:val="center"/>
          </w:tcPr>
          <w:p w14:paraId="5BFDF939" w14:textId="77777777" w:rsidR="00112ED0" w:rsidRPr="00112ED0" w:rsidRDefault="00112ED0" w:rsidP="00055689">
            <w:pPr>
              <w:jc w:val="center"/>
              <w:rPr>
                <w:bCs/>
                <w:sz w:val="20"/>
                <w:szCs w:val="20"/>
              </w:rPr>
            </w:pPr>
            <w:r w:rsidRPr="00112ED0">
              <w:rPr>
                <w:bCs/>
                <w:sz w:val="20"/>
                <w:szCs w:val="20"/>
              </w:rPr>
              <w:t>18.9</w:t>
            </w:r>
          </w:p>
        </w:tc>
        <w:tc>
          <w:tcPr>
            <w:tcW w:w="650" w:type="dxa"/>
            <w:shd w:val="clear" w:color="auto" w:fill="auto"/>
          </w:tcPr>
          <w:p w14:paraId="394EF605" w14:textId="77777777" w:rsidR="00112ED0" w:rsidRPr="00112ED0" w:rsidRDefault="00112ED0" w:rsidP="00055689">
            <w:pPr>
              <w:jc w:val="center"/>
              <w:rPr>
                <w:bCs/>
                <w:sz w:val="20"/>
                <w:szCs w:val="20"/>
              </w:rPr>
            </w:pPr>
            <w:r w:rsidRPr="00112ED0">
              <w:rPr>
                <w:bCs/>
                <w:sz w:val="20"/>
                <w:szCs w:val="20"/>
              </w:rPr>
              <w:t>5</w:t>
            </w:r>
          </w:p>
        </w:tc>
        <w:tc>
          <w:tcPr>
            <w:tcW w:w="387" w:type="dxa"/>
            <w:shd w:val="clear" w:color="auto" w:fill="auto"/>
          </w:tcPr>
          <w:p w14:paraId="2540F064" w14:textId="77777777" w:rsidR="00112ED0" w:rsidRPr="00112ED0" w:rsidRDefault="00112ED0" w:rsidP="00055689">
            <w:pPr>
              <w:jc w:val="center"/>
              <w:rPr>
                <w:bCs/>
                <w:sz w:val="20"/>
                <w:szCs w:val="20"/>
              </w:rPr>
            </w:pPr>
            <w:r w:rsidRPr="00112ED0">
              <w:rPr>
                <w:bCs/>
                <w:sz w:val="20"/>
                <w:szCs w:val="20"/>
              </w:rPr>
              <w:t>50</w:t>
            </w:r>
          </w:p>
        </w:tc>
        <w:tc>
          <w:tcPr>
            <w:tcW w:w="822" w:type="dxa"/>
            <w:shd w:val="clear" w:color="auto" w:fill="auto"/>
            <w:vAlign w:val="center"/>
          </w:tcPr>
          <w:p w14:paraId="4752E63F" w14:textId="77777777" w:rsidR="00112ED0" w:rsidRPr="00112ED0" w:rsidRDefault="00112ED0" w:rsidP="00055689">
            <w:pPr>
              <w:jc w:val="center"/>
              <w:rPr>
                <w:bCs/>
                <w:sz w:val="20"/>
                <w:szCs w:val="20"/>
              </w:rPr>
            </w:pPr>
            <w:r w:rsidRPr="00112ED0">
              <w:rPr>
                <w:bCs/>
                <w:sz w:val="20"/>
                <w:szCs w:val="20"/>
              </w:rPr>
              <w:t>119</w:t>
            </w:r>
          </w:p>
        </w:tc>
        <w:tc>
          <w:tcPr>
            <w:tcW w:w="420" w:type="dxa"/>
            <w:shd w:val="clear" w:color="auto" w:fill="auto"/>
            <w:vAlign w:val="center"/>
          </w:tcPr>
          <w:p w14:paraId="5257E863" w14:textId="77777777" w:rsidR="00112ED0" w:rsidRPr="00112ED0" w:rsidRDefault="00112ED0" w:rsidP="00055689">
            <w:pPr>
              <w:jc w:val="center"/>
              <w:rPr>
                <w:bCs/>
                <w:sz w:val="20"/>
                <w:szCs w:val="20"/>
              </w:rPr>
            </w:pPr>
            <w:r w:rsidRPr="00112ED0">
              <w:rPr>
                <w:bCs/>
                <w:sz w:val="20"/>
                <w:szCs w:val="20"/>
              </w:rPr>
              <w:t>82.1</w:t>
            </w:r>
          </w:p>
        </w:tc>
        <w:tc>
          <w:tcPr>
            <w:tcW w:w="1209" w:type="dxa"/>
            <w:vMerge/>
            <w:shd w:val="clear" w:color="auto" w:fill="auto"/>
          </w:tcPr>
          <w:p w14:paraId="117AEE37" w14:textId="77777777" w:rsidR="00112ED0" w:rsidRPr="00112ED0" w:rsidRDefault="00112ED0" w:rsidP="00055689">
            <w:pPr>
              <w:jc w:val="center"/>
              <w:rPr>
                <w:bCs/>
                <w:sz w:val="20"/>
                <w:szCs w:val="20"/>
              </w:rPr>
            </w:pPr>
          </w:p>
        </w:tc>
      </w:tr>
      <w:tr w:rsidR="00112ED0" w:rsidRPr="00112ED0" w14:paraId="631E8CC5" w14:textId="77777777" w:rsidTr="00112ED0">
        <w:tc>
          <w:tcPr>
            <w:tcW w:w="1345" w:type="dxa"/>
            <w:tcBorders>
              <w:bottom w:val="single" w:sz="4" w:space="0" w:color="auto"/>
            </w:tcBorders>
            <w:shd w:val="clear" w:color="auto" w:fill="auto"/>
          </w:tcPr>
          <w:p w14:paraId="1DD1419D" w14:textId="77777777" w:rsidR="00112ED0" w:rsidRPr="00112ED0" w:rsidRDefault="00112ED0" w:rsidP="00055689">
            <w:pPr>
              <w:rPr>
                <w:b/>
                <w:sz w:val="20"/>
                <w:szCs w:val="20"/>
              </w:rPr>
            </w:pPr>
          </w:p>
        </w:tc>
        <w:tc>
          <w:tcPr>
            <w:tcW w:w="1724" w:type="dxa"/>
            <w:tcBorders>
              <w:top w:val="single" w:sz="4" w:space="0" w:color="auto"/>
              <w:bottom w:val="single" w:sz="4" w:space="0" w:color="auto"/>
            </w:tcBorders>
            <w:shd w:val="clear" w:color="auto" w:fill="auto"/>
          </w:tcPr>
          <w:p w14:paraId="7FCEE8AA" w14:textId="77777777" w:rsidR="00112ED0" w:rsidRPr="00112ED0" w:rsidRDefault="00112ED0" w:rsidP="00055689">
            <w:pPr>
              <w:jc w:val="center"/>
              <w:rPr>
                <w:b/>
                <w:sz w:val="20"/>
                <w:szCs w:val="20"/>
              </w:rPr>
            </w:pPr>
            <w:r w:rsidRPr="00112ED0">
              <w:rPr>
                <w:b/>
                <w:sz w:val="20"/>
                <w:szCs w:val="20"/>
              </w:rPr>
              <w:t>Total</w:t>
            </w:r>
          </w:p>
        </w:tc>
        <w:tc>
          <w:tcPr>
            <w:tcW w:w="632" w:type="dxa"/>
            <w:tcBorders>
              <w:top w:val="single" w:sz="4" w:space="0" w:color="auto"/>
              <w:bottom w:val="single" w:sz="4" w:space="0" w:color="auto"/>
            </w:tcBorders>
            <w:shd w:val="clear" w:color="auto" w:fill="auto"/>
            <w:vAlign w:val="center"/>
          </w:tcPr>
          <w:p w14:paraId="3FC0D0A5" w14:textId="77777777" w:rsidR="00112ED0" w:rsidRPr="00112ED0" w:rsidRDefault="00112ED0" w:rsidP="00055689">
            <w:pPr>
              <w:jc w:val="center"/>
              <w:rPr>
                <w:b/>
                <w:sz w:val="20"/>
                <w:szCs w:val="20"/>
              </w:rPr>
            </w:pPr>
            <w:r w:rsidRPr="00112ED0">
              <w:rPr>
                <w:b/>
                <w:sz w:val="20"/>
                <w:szCs w:val="20"/>
              </w:rPr>
              <w:t>98</w:t>
            </w:r>
          </w:p>
        </w:tc>
        <w:tc>
          <w:tcPr>
            <w:tcW w:w="605" w:type="dxa"/>
            <w:tcBorders>
              <w:top w:val="single" w:sz="4" w:space="0" w:color="auto"/>
              <w:bottom w:val="single" w:sz="4" w:space="0" w:color="auto"/>
            </w:tcBorders>
            <w:shd w:val="clear" w:color="auto" w:fill="auto"/>
            <w:vAlign w:val="center"/>
          </w:tcPr>
          <w:p w14:paraId="631132C4" w14:textId="77777777" w:rsidR="00112ED0" w:rsidRPr="00112ED0" w:rsidRDefault="00112ED0" w:rsidP="00055689">
            <w:pPr>
              <w:jc w:val="center"/>
              <w:rPr>
                <w:b/>
                <w:sz w:val="20"/>
                <w:szCs w:val="20"/>
              </w:rPr>
            </w:pPr>
            <w:r w:rsidRPr="00112ED0">
              <w:rPr>
                <w:b/>
                <w:sz w:val="20"/>
                <w:szCs w:val="20"/>
              </w:rPr>
              <w:t>100</w:t>
            </w:r>
          </w:p>
        </w:tc>
        <w:tc>
          <w:tcPr>
            <w:tcW w:w="706" w:type="dxa"/>
            <w:tcBorders>
              <w:top w:val="single" w:sz="4" w:space="0" w:color="auto"/>
              <w:bottom w:val="single" w:sz="4" w:space="0" w:color="auto"/>
            </w:tcBorders>
            <w:shd w:val="clear" w:color="auto" w:fill="auto"/>
            <w:vAlign w:val="center"/>
          </w:tcPr>
          <w:p w14:paraId="25D56777" w14:textId="77777777" w:rsidR="00112ED0" w:rsidRPr="00112ED0" w:rsidRDefault="00112ED0" w:rsidP="00055689">
            <w:pPr>
              <w:jc w:val="center"/>
              <w:rPr>
                <w:b/>
                <w:sz w:val="20"/>
                <w:szCs w:val="20"/>
              </w:rPr>
            </w:pPr>
            <w:r w:rsidRPr="00112ED0">
              <w:rPr>
                <w:b/>
                <w:sz w:val="20"/>
                <w:szCs w:val="20"/>
              </w:rPr>
              <w:t>37</w:t>
            </w:r>
          </w:p>
        </w:tc>
        <w:tc>
          <w:tcPr>
            <w:tcW w:w="607" w:type="dxa"/>
            <w:tcBorders>
              <w:top w:val="single" w:sz="4" w:space="0" w:color="auto"/>
              <w:bottom w:val="single" w:sz="4" w:space="0" w:color="auto"/>
            </w:tcBorders>
            <w:shd w:val="clear" w:color="auto" w:fill="auto"/>
            <w:vAlign w:val="center"/>
          </w:tcPr>
          <w:p w14:paraId="06EF070B" w14:textId="77777777" w:rsidR="00112ED0" w:rsidRPr="00112ED0" w:rsidRDefault="00112ED0" w:rsidP="00055689">
            <w:pPr>
              <w:jc w:val="center"/>
              <w:rPr>
                <w:b/>
                <w:sz w:val="20"/>
                <w:szCs w:val="20"/>
              </w:rPr>
            </w:pPr>
            <w:r w:rsidRPr="00112ED0">
              <w:rPr>
                <w:b/>
                <w:sz w:val="20"/>
                <w:szCs w:val="20"/>
              </w:rPr>
              <w:t>100</w:t>
            </w:r>
          </w:p>
        </w:tc>
        <w:tc>
          <w:tcPr>
            <w:tcW w:w="650" w:type="dxa"/>
            <w:tcBorders>
              <w:top w:val="single" w:sz="4" w:space="0" w:color="auto"/>
              <w:bottom w:val="single" w:sz="4" w:space="0" w:color="auto"/>
            </w:tcBorders>
            <w:shd w:val="clear" w:color="auto" w:fill="auto"/>
          </w:tcPr>
          <w:p w14:paraId="1AEDD710" w14:textId="77777777" w:rsidR="00112ED0" w:rsidRPr="00112ED0" w:rsidRDefault="00112ED0" w:rsidP="00055689">
            <w:pPr>
              <w:jc w:val="center"/>
              <w:rPr>
                <w:b/>
                <w:sz w:val="20"/>
                <w:szCs w:val="20"/>
              </w:rPr>
            </w:pPr>
            <w:r w:rsidRPr="00112ED0">
              <w:rPr>
                <w:b/>
                <w:sz w:val="20"/>
                <w:szCs w:val="20"/>
              </w:rPr>
              <w:t>10</w:t>
            </w:r>
          </w:p>
        </w:tc>
        <w:tc>
          <w:tcPr>
            <w:tcW w:w="387" w:type="dxa"/>
            <w:tcBorders>
              <w:top w:val="single" w:sz="4" w:space="0" w:color="auto"/>
              <w:bottom w:val="single" w:sz="4" w:space="0" w:color="auto"/>
            </w:tcBorders>
            <w:shd w:val="clear" w:color="auto" w:fill="auto"/>
          </w:tcPr>
          <w:p w14:paraId="31603EC8" w14:textId="77777777" w:rsidR="00112ED0" w:rsidRPr="00112ED0" w:rsidRDefault="00112ED0" w:rsidP="00055689">
            <w:pPr>
              <w:jc w:val="center"/>
              <w:rPr>
                <w:b/>
                <w:sz w:val="20"/>
                <w:szCs w:val="20"/>
              </w:rPr>
            </w:pPr>
            <w:r w:rsidRPr="00112ED0">
              <w:rPr>
                <w:b/>
                <w:sz w:val="20"/>
                <w:szCs w:val="20"/>
              </w:rPr>
              <w:t>100</w:t>
            </w:r>
          </w:p>
        </w:tc>
        <w:tc>
          <w:tcPr>
            <w:tcW w:w="822" w:type="dxa"/>
            <w:tcBorders>
              <w:top w:val="single" w:sz="4" w:space="0" w:color="auto"/>
              <w:bottom w:val="single" w:sz="4" w:space="0" w:color="auto"/>
            </w:tcBorders>
            <w:shd w:val="clear" w:color="auto" w:fill="auto"/>
            <w:vAlign w:val="center"/>
          </w:tcPr>
          <w:p w14:paraId="54553A73" w14:textId="77777777" w:rsidR="00112ED0" w:rsidRPr="00112ED0" w:rsidRDefault="00112ED0" w:rsidP="00055689">
            <w:pPr>
              <w:jc w:val="center"/>
              <w:rPr>
                <w:b/>
                <w:sz w:val="20"/>
                <w:szCs w:val="20"/>
              </w:rPr>
            </w:pPr>
            <w:r w:rsidRPr="00112ED0">
              <w:rPr>
                <w:b/>
                <w:sz w:val="20"/>
                <w:szCs w:val="20"/>
              </w:rPr>
              <w:t>145</w:t>
            </w:r>
          </w:p>
        </w:tc>
        <w:tc>
          <w:tcPr>
            <w:tcW w:w="420" w:type="dxa"/>
            <w:tcBorders>
              <w:top w:val="single" w:sz="4" w:space="0" w:color="auto"/>
              <w:bottom w:val="single" w:sz="4" w:space="0" w:color="auto"/>
            </w:tcBorders>
            <w:shd w:val="clear" w:color="auto" w:fill="auto"/>
            <w:vAlign w:val="center"/>
          </w:tcPr>
          <w:p w14:paraId="64B025AB" w14:textId="77777777" w:rsidR="00112ED0" w:rsidRPr="00112ED0" w:rsidRDefault="00112ED0" w:rsidP="00055689">
            <w:pPr>
              <w:jc w:val="center"/>
              <w:rPr>
                <w:b/>
                <w:sz w:val="20"/>
                <w:szCs w:val="20"/>
              </w:rPr>
            </w:pPr>
            <w:r w:rsidRPr="00112ED0">
              <w:rPr>
                <w:b/>
                <w:sz w:val="20"/>
                <w:szCs w:val="20"/>
              </w:rPr>
              <w:t>100</w:t>
            </w:r>
          </w:p>
        </w:tc>
        <w:tc>
          <w:tcPr>
            <w:tcW w:w="1209" w:type="dxa"/>
            <w:tcBorders>
              <w:top w:val="single" w:sz="4" w:space="0" w:color="auto"/>
              <w:bottom w:val="single" w:sz="4" w:space="0" w:color="auto"/>
            </w:tcBorders>
            <w:shd w:val="clear" w:color="auto" w:fill="auto"/>
          </w:tcPr>
          <w:p w14:paraId="54A1ED6F" w14:textId="77777777" w:rsidR="00112ED0" w:rsidRPr="00112ED0" w:rsidRDefault="00112ED0" w:rsidP="00055689">
            <w:pPr>
              <w:jc w:val="center"/>
              <w:rPr>
                <w:b/>
                <w:sz w:val="20"/>
                <w:szCs w:val="20"/>
              </w:rPr>
            </w:pPr>
          </w:p>
        </w:tc>
      </w:tr>
      <w:tr w:rsidR="00112ED0" w:rsidRPr="00112ED0" w14:paraId="7FFABF61" w14:textId="77777777" w:rsidTr="00112ED0">
        <w:tc>
          <w:tcPr>
            <w:tcW w:w="1345" w:type="dxa"/>
            <w:vMerge w:val="restart"/>
            <w:tcBorders>
              <w:top w:val="single" w:sz="4" w:space="0" w:color="auto"/>
            </w:tcBorders>
            <w:shd w:val="clear" w:color="auto" w:fill="auto"/>
          </w:tcPr>
          <w:p w14:paraId="260B4C6B" w14:textId="4C1BE9FB" w:rsidR="00112ED0" w:rsidRPr="00112ED0" w:rsidRDefault="00112ED0" w:rsidP="00055689">
            <w:pPr>
              <w:jc w:val="center"/>
              <w:rPr>
                <w:bCs/>
                <w:sz w:val="20"/>
                <w:szCs w:val="20"/>
              </w:rPr>
            </w:pPr>
            <w:r w:rsidRPr="00112ED0">
              <w:rPr>
                <w:bCs/>
                <w:sz w:val="20"/>
                <w:szCs w:val="20"/>
              </w:rPr>
              <w:t>Emo</w:t>
            </w:r>
            <w:r>
              <w:rPr>
                <w:bCs/>
                <w:sz w:val="20"/>
                <w:szCs w:val="20"/>
              </w:rPr>
              <w:t>t</w:t>
            </w:r>
            <w:r w:rsidRPr="00112ED0">
              <w:rPr>
                <w:bCs/>
                <w:sz w:val="20"/>
                <w:szCs w:val="20"/>
              </w:rPr>
              <w:t>ional</w:t>
            </w:r>
            <w:r>
              <w:rPr>
                <w:bCs/>
                <w:sz w:val="20"/>
                <w:szCs w:val="20"/>
              </w:rPr>
              <w:t xml:space="preserve"> Support</w:t>
            </w:r>
          </w:p>
        </w:tc>
        <w:tc>
          <w:tcPr>
            <w:tcW w:w="1724" w:type="dxa"/>
            <w:tcBorders>
              <w:top w:val="single" w:sz="4" w:space="0" w:color="auto"/>
            </w:tcBorders>
            <w:shd w:val="clear" w:color="auto" w:fill="auto"/>
          </w:tcPr>
          <w:p w14:paraId="1A7F5919" w14:textId="231CF506" w:rsidR="00112ED0" w:rsidRPr="00112ED0" w:rsidRDefault="00112ED0" w:rsidP="00055689">
            <w:pPr>
              <w:jc w:val="center"/>
              <w:rPr>
                <w:bCs/>
                <w:sz w:val="20"/>
                <w:szCs w:val="20"/>
              </w:rPr>
            </w:pPr>
            <w:r>
              <w:rPr>
                <w:bCs/>
                <w:sz w:val="20"/>
                <w:szCs w:val="20"/>
              </w:rPr>
              <w:t>High</w:t>
            </w:r>
          </w:p>
        </w:tc>
        <w:tc>
          <w:tcPr>
            <w:tcW w:w="632" w:type="dxa"/>
            <w:tcBorders>
              <w:top w:val="single" w:sz="4" w:space="0" w:color="auto"/>
            </w:tcBorders>
            <w:shd w:val="clear" w:color="auto" w:fill="auto"/>
            <w:vAlign w:val="center"/>
          </w:tcPr>
          <w:p w14:paraId="2289DEB6" w14:textId="77777777" w:rsidR="00112ED0" w:rsidRPr="00112ED0" w:rsidRDefault="00112ED0" w:rsidP="00055689">
            <w:pPr>
              <w:jc w:val="center"/>
              <w:rPr>
                <w:bCs/>
                <w:sz w:val="20"/>
                <w:szCs w:val="20"/>
              </w:rPr>
            </w:pPr>
            <w:r w:rsidRPr="00112ED0">
              <w:rPr>
                <w:bCs/>
                <w:sz w:val="20"/>
                <w:szCs w:val="20"/>
              </w:rPr>
              <w:t>5</w:t>
            </w:r>
          </w:p>
        </w:tc>
        <w:tc>
          <w:tcPr>
            <w:tcW w:w="605" w:type="dxa"/>
            <w:tcBorders>
              <w:top w:val="single" w:sz="4" w:space="0" w:color="auto"/>
            </w:tcBorders>
            <w:shd w:val="clear" w:color="auto" w:fill="auto"/>
            <w:vAlign w:val="center"/>
          </w:tcPr>
          <w:p w14:paraId="1E31C2A9" w14:textId="77777777" w:rsidR="00112ED0" w:rsidRPr="00112ED0" w:rsidRDefault="00112ED0" w:rsidP="00055689">
            <w:pPr>
              <w:jc w:val="center"/>
              <w:rPr>
                <w:bCs/>
                <w:sz w:val="20"/>
                <w:szCs w:val="20"/>
              </w:rPr>
            </w:pPr>
            <w:r w:rsidRPr="00112ED0">
              <w:rPr>
                <w:bCs/>
                <w:sz w:val="20"/>
                <w:szCs w:val="20"/>
              </w:rPr>
              <w:t>5.1</w:t>
            </w:r>
          </w:p>
        </w:tc>
        <w:tc>
          <w:tcPr>
            <w:tcW w:w="706" w:type="dxa"/>
            <w:tcBorders>
              <w:top w:val="single" w:sz="4" w:space="0" w:color="auto"/>
            </w:tcBorders>
            <w:shd w:val="clear" w:color="auto" w:fill="auto"/>
            <w:vAlign w:val="center"/>
          </w:tcPr>
          <w:p w14:paraId="76059F5D" w14:textId="77777777" w:rsidR="00112ED0" w:rsidRPr="00112ED0" w:rsidRDefault="00112ED0" w:rsidP="00055689">
            <w:pPr>
              <w:jc w:val="center"/>
              <w:rPr>
                <w:bCs/>
                <w:sz w:val="20"/>
                <w:szCs w:val="20"/>
              </w:rPr>
            </w:pPr>
            <w:r w:rsidRPr="00112ED0">
              <w:rPr>
                <w:bCs/>
                <w:sz w:val="20"/>
                <w:szCs w:val="20"/>
              </w:rPr>
              <w:t>34</w:t>
            </w:r>
          </w:p>
        </w:tc>
        <w:tc>
          <w:tcPr>
            <w:tcW w:w="607" w:type="dxa"/>
            <w:tcBorders>
              <w:top w:val="single" w:sz="4" w:space="0" w:color="auto"/>
            </w:tcBorders>
            <w:shd w:val="clear" w:color="auto" w:fill="auto"/>
            <w:vAlign w:val="center"/>
          </w:tcPr>
          <w:p w14:paraId="50BFA80C" w14:textId="77777777" w:rsidR="00112ED0" w:rsidRPr="00112ED0" w:rsidRDefault="00112ED0" w:rsidP="00055689">
            <w:pPr>
              <w:jc w:val="center"/>
              <w:rPr>
                <w:bCs/>
                <w:sz w:val="20"/>
                <w:szCs w:val="20"/>
              </w:rPr>
            </w:pPr>
            <w:r w:rsidRPr="00112ED0">
              <w:rPr>
                <w:bCs/>
                <w:sz w:val="20"/>
                <w:szCs w:val="20"/>
              </w:rPr>
              <w:t>91.9</w:t>
            </w:r>
          </w:p>
        </w:tc>
        <w:tc>
          <w:tcPr>
            <w:tcW w:w="650" w:type="dxa"/>
            <w:tcBorders>
              <w:top w:val="single" w:sz="4" w:space="0" w:color="auto"/>
            </w:tcBorders>
            <w:shd w:val="clear" w:color="auto" w:fill="auto"/>
          </w:tcPr>
          <w:p w14:paraId="639EB889" w14:textId="77777777" w:rsidR="00112ED0" w:rsidRPr="00112ED0" w:rsidRDefault="00112ED0" w:rsidP="00055689">
            <w:pPr>
              <w:jc w:val="center"/>
              <w:rPr>
                <w:bCs/>
                <w:sz w:val="20"/>
                <w:szCs w:val="20"/>
              </w:rPr>
            </w:pPr>
            <w:r w:rsidRPr="00112ED0">
              <w:rPr>
                <w:bCs/>
                <w:sz w:val="20"/>
                <w:szCs w:val="20"/>
              </w:rPr>
              <w:t>6</w:t>
            </w:r>
          </w:p>
        </w:tc>
        <w:tc>
          <w:tcPr>
            <w:tcW w:w="387" w:type="dxa"/>
            <w:tcBorders>
              <w:top w:val="single" w:sz="4" w:space="0" w:color="auto"/>
            </w:tcBorders>
            <w:shd w:val="clear" w:color="auto" w:fill="auto"/>
          </w:tcPr>
          <w:p w14:paraId="5B1A5A5A" w14:textId="77777777" w:rsidR="00112ED0" w:rsidRPr="00112ED0" w:rsidRDefault="00112ED0" w:rsidP="00055689">
            <w:pPr>
              <w:jc w:val="center"/>
              <w:rPr>
                <w:bCs/>
                <w:sz w:val="20"/>
                <w:szCs w:val="20"/>
              </w:rPr>
            </w:pPr>
            <w:r w:rsidRPr="00112ED0">
              <w:rPr>
                <w:bCs/>
                <w:sz w:val="20"/>
                <w:szCs w:val="20"/>
              </w:rPr>
              <w:t>60</w:t>
            </w:r>
          </w:p>
        </w:tc>
        <w:tc>
          <w:tcPr>
            <w:tcW w:w="822" w:type="dxa"/>
            <w:tcBorders>
              <w:top w:val="single" w:sz="4" w:space="0" w:color="auto"/>
            </w:tcBorders>
            <w:shd w:val="clear" w:color="auto" w:fill="auto"/>
            <w:vAlign w:val="center"/>
          </w:tcPr>
          <w:p w14:paraId="1D090ED5" w14:textId="77777777" w:rsidR="00112ED0" w:rsidRPr="00112ED0" w:rsidRDefault="00112ED0" w:rsidP="00055689">
            <w:pPr>
              <w:jc w:val="center"/>
              <w:rPr>
                <w:bCs/>
                <w:sz w:val="20"/>
                <w:szCs w:val="20"/>
              </w:rPr>
            </w:pPr>
            <w:r w:rsidRPr="00112ED0">
              <w:rPr>
                <w:bCs/>
                <w:sz w:val="20"/>
                <w:szCs w:val="20"/>
              </w:rPr>
              <w:t>45</w:t>
            </w:r>
          </w:p>
        </w:tc>
        <w:tc>
          <w:tcPr>
            <w:tcW w:w="420" w:type="dxa"/>
            <w:tcBorders>
              <w:top w:val="single" w:sz="4" w:space="0" w:color="auto"/>
            </w:tcBorders>
            <w:shd w:val="clear" w:color="auto" w:fill="auto"/>
            <w:vAlign w:val="center"/>
          </w:tcPr>
          <w:p w14:paraId="7F8AB693" w14:textId="77777777" w:rsidR="00112ED0" w:rsidRPr="00112ED0" w:rsidRDefault="00112ED0" w:rsidP="00055689">
            <w:pPr>
              <w:jc w:val="center"/>
              <w:rPr>
                <w:bCs/>
                <w:sz w:val="20"/>
                <w:szCs w:val="20"/>
              </w:rPr>
            </w:pPr>
            <w:r w:rsidRPr="00112ED0">
              <w:rPr>
                <w:bCs/>
                <w:sz w:val="20"/>
                <w:szCs w:val="20"/>
              </w:rPr>
              <w:t>31</w:t>
            </w:r>
          </w:p>
        </w:tc>
        <w:tc>
          <w:tcPr>
            <w:tcW w:w="1209" w:type="dxa"/>
            <w:vMerge w:val="restart"/>
            <w:tcBorders>
              <w:top w:val="single" w:sz="4" w:space="0" w:color="auto"/>
            </w:tcBorders>
            <w:shd w:val="clear" w:color="auto" w:fill="auto"/>
            <w:vAlign w:val="center"/>
          </w:tcPr>
          <w:p w14:paraId="078B2442" w14:textId="459A4DFF" w:rsidR="00112ED0" w:rsidRPr="00112ED0" w:rsidRDefault="00112ED0" w:rsidP="00055689">
            <w:pPr>
              <w:jc w:val="center"/>
              <w:rPr>
                <w:bCs/>
                <w:sz w:val="20"/>
                <w:szCs w:val="20"/>
              </w:rPr>
            </w:pPr>
            <w:r w:rsidRPr="00112ED0">
              <w:rPr>
                <w:bCs/>
                <w:sz w:val="20"/>
                <w:szCs w:val="20"/>
              </w:rPr>
              <w:t>0</w:t>
            </w:r>
            <w:r>
              <w:rPr>
                <w:bCs/>
                <w:sz w:val="20"/>
                <w:szCs w:val="20"/>
              </w:rPr>
              <w:t>.</w:t>
            </w:r>
            <w:r w:rsidRPr="00112ED0">
              <w:rPr>
                <w:bCs/>
                <w:sz w:val="20"/>
                <w:szCs w:val="20"/>
              </w:rPr>
              <w:t>000</w:t>
            </w:r>
          </w:p>
        </w:tc>
      </w:tr>
      <w:tr w:rsidR="00112ED0" w:rsidRPr="00112ED0" w14:paraId="7E24B1C4" w14:textId="77777777" w:rsidTr="00112ED0">
        <w:tc>
          <w:tcPr>
            <w:tcW w:w="1345" w:type="dxa"/>
            <w:vMerge/>
            <w:shd w:val="clear" w:color="auto" w:fill="auto"/>
          </w:tcPr>
          <w:p w14:paraId="518CF069" w14:textId="77777777" w:rsidR="00112ED0" w:rsidRPr="00112ED0" w:rsidRDefault="00112ED0" w:rsidP="00055689">
            <w:pPr>
              <w:jc w:val="center"/>
              <w:rPr>
                <w:bCs/>
                <w:sz w:val="20"/>
                <w:szCs w:val="20"/>
              </w:rPr>
            </w:pPr>
          </w:p>
        </w:tc>
        <w:tc>
          <w:tcPr>
            <w:tcW w:w="1724" w:type="dxa"/>
            <w:shd w:val="clear" w:color="auto" w:fill="auto"/>
          </w:tcPr>
          <w:p w14:paraId="26EFD5DF" w14:textId="63F98BF8" w:rsidR="00112ED0" w:rsidRPr="00112ED0" w:rsidRDefault="00112ED0" w:rsidP="00055689">
            <w:pPr>
              <w:jc w:val="center"/>
              <w:rPr>
                <w:bCs/>
                <w:sz w:val="20"/>
                <w:szCs w:val="20"/>
              </w:rPr>
            </w:pPr>
            <w:r>
              <w:rPr>
                <w:bCs/>
                <w:sz w:val="20"/>
                <w:szCs w:val="20"/>
              </w:rPr>
              <w:t>Low</w:t>
            </w:r>
          </w:p>
        </w:tc>
        <w:tc>
          <w:tcPr>
            <w:tcW w:w="632" w:type="dxa"/>
            <w:shd w:val="clear" w:color="auto" w:fill="auto"/>
            <w:vAlign w:val="center"/>
          </w:tcPr>
          <w:p w14:paraId="59EC8ACD" w14:textId="77777777" w:rsidR="00112ED0" w:rsidRPr="00112ED0" w:rsidRDefault="00112ED0" w:rsidP="00055689">
            <w:pPr>
              <w:jc w:val="center"/>
              <w:rPr>
                <w:bCs/>
                <w:sz w:val="20"/>
                <w:szCs w:val="20"/>
              </w:rPr>
            </w:pPr>
            <w:r w:rsidRPr="00112ED0">
              <w:rPr>
                <w:bCs/>
                <w:sz w:val="20"/>
                <w:szCs w:val="20"/>
              </w:rPr>
              <w:t>93</w:t>
            </w:r>
          </w:p>
        </w:tc>
        <w:tc>
          <w:tcPr>
            <w:tcW w:w="605" w:type="dxa"/>
            <w:shd w:val="clear" w:color="auto" w:fill="auto"/>
            <w:vAlign w:val="center"/>
          </w:tcPr>
          <w:p w14:paraId="6295BC8D" w14:textId="77777777" w:rsidR="00112ED0" w:rsidRPr="00112ED0" w:rsidRDefault="00112ED0" w:rsidP="00055689">
            <w:pPr>
              <w:jc w:val="center"/>
              <w:rPr>
                <w:bCs/>
                <w:sz w:val="20"/>
                <w:szCs w:val="20"/>
              </w:rPr>
            </w:pPr>
            <w:r w:rsidRPr="00112ED0">
              <w:rPr>
                <w:bCs/>
                <w:sz w:val="20"/>
                <w:szCs w:val="20"/>
              </w:rPr>
              <w:t>94.9</w:t>
            </w:r>
          </w:p>
        </w:tc>
        <w:tc>
          <w:tcPr>
            <w:tcW w:w="706" w:type="dxa"/>
            <w:shd w:val="clear" w:color="auto" w:fill="auto"/>
            <w:vAlign w:val="center"/>
          </w:tcPr>
          <w:p w14:paraId="256F6483" w14:textId="77777777" w:rsidR="00112ED0" w:rsidRPr="00112ED0" w:rsidRDefault="00112ED0" w:rsidP="00055689">
            <w:pPr>
              <w:jc w:val="center"/>
              <w:rPr>
                <w:bCs/>
                <w:sz w:val="20"/>
                <w:szCs w:val="20"/>
              </w:rPr>
            </w:pPr>
            <w:r w:rsidRPr="00112ED0">
              <w:rPr>
                <w:bCs/>
                <w:sz w:val="20"/>
                <w:szCs w:val="20"/>
              </w:rPr>
              <w:t>3</w:t>
            </w:r>
          </w:p>
        </w:tc>
        <w:tc>
          <w:tcPr>
            <w:tcW w:w="607" w:type="dxa"/>
            <w:shd w:val="clear" w:color="auto" w:fill="auto"/>
            <w:vAlign w:val="center"/>
          </w:tcPr>
          <w:p w14:paraId="3D6FAFA9" w14:textId="77777777" w:rsidR="00112ED0" w:rsidRPr="00112ED0" w:rsidRDefault="00112ED0" w:rsidP="00055689">
            <w:pPr>
              <w:jc w:val="center"/>
              <w:rPr>
                <w:bCs/>
                <w:sz w:val="20"/>
                <w:szCs w:val="20"/>
              </w:rPr>
            </w:pPr>
            <w:r w:rsidRPr="00112ED0">
              <w:rPr>
                <w:bCs/>
                <w:sz w:val="20"/>
                <w:szCs w:val="20"/>
              </w:rPr>
              <w:t>8.1</w:t>
            </w:r>
          </w:p>
        </w:tc>
        <w:tc>
          <w:tcPr>
            <w:tcW w:w="650" w:type="dxa"/>
            <w:shd w:val="clear" w:color="auto" w:fill="auto"/>
          </w:tcPr>
          <w:p w14:paraId="00B2B779" w14:textId="77777777" w:rsidR="00112ED0" w:rsidRPr="00112ED0" w:rsidRDefault="00112ED0" w:rsidP="00055689">
            <w:pPr>
              <w:jc w:val="center"/>
              <w:rPr>
                <w:bCs/>
                <w:sz w:val="20"/>
                <w:szCs w:val="20"/>
              </w:rPr>
            </w:pPr>
            <w:r w:rsidRPr="00112ED0">
              <w:rPr>
                <w:bCs/>
                <w:sz w:val="20"/>
                <w:szCs w:val="20"/>
              </w:rPr>
              <w:t>4</w:t>
            </w:r>
          </w:p>
        </w:tc>
        <w:tc>
          <w:tcPr>
            <w:tcW w:w="387" w:type="dxa"/>
            <w:shd w:val="clear" w:color="auto" w:fill="auto"/>
          </w:tcPr>
          <w:p w14:paraId="63353E99" w14:textId="77777777" w:rsidR="00112ED0" w:rsidRPr="00112ED0" w:rsidRDefault="00112ED0" w:rsidP="00055689">
            <w:pPr>
              <w:jc w:val="center"/>
              <w:rPr>
                <w:bCs/>
                <w:sz w:val="20"/>
                <w:szCs w:val="20"/>
              </w:rPr>
            </w:pPr>
            <w:r w:rsidRPr="00112ED0">
              <w:rPr>
                <w:bCs/>
                <w:sz w:val="20"/>
                <w:szCs w:val="20"/>
              </w:rPr>
              <w:t>40</w:t>
            </w:r>
          </w:p>
        </w:tc>
        <w:tc>
          <w:tcPr>
            <w:tcW w:w="822" w:type="dxa"/>
            <w:shd w:val="clear" w:color="auto" w:fill="auto"/>
            <w:vAlign w:val="center"/>
          </w:tcPr>
          <w:p w14:paraId="0CAF62C8" w14:textId="77777777" w:rsidR="00112ED0" w:rsidRPr="00112ED0" w:rsidRDefault="00112ED0" w:rsidP="00055689">
            <w:pPr>
              <w:jc w:val="center"/>
              <w:rPr>
                <w:bCs/>
                <w:sz w:val="20"/>
                <w:szCs w:val="20"/>
              </w:rPr>
            </w:pPr>
            <w:r w:rsidRPr="00112ED0">
              <w:rPr>
                <w:bCs/>
                <w:sz w:val="20"/>
                <w:szCs w:val="20"/>
              </w:rPr>
              <w:t>100</w:t>
            </w:r>
          </w:p>
        </w:tc>
        <w:tc>
          <w:tcPr>
            <w:tcW w:w="420" w:type="dxa"/>
            <w:shd w:val="clear" w:color="auto" w:fill="auto"/>
            <w:vAlign w:val="center"/>
          </w:tcPr>
          <w:p w14:paraId="3F6D4083" w14:textId="77777777" w:rsidR="00112ED0" w:rsidRPr="00112ED0" w:rsidRDefault="00112ED0" w:rsidP="00055689">
            <w:pPr>
              <w:jc w:val="center"/>
              <w:rPr>
                <w:bCs/>
                <w:sz w:val="20"/>
                <w:szCs w:val="20"/>
              </w:rPr>
            </w:pPr>
            <w:r w:rsidRPr="00112ED0">
              <w:rPr>
                <w:bCs/>
                <w:sz w:val="20"/>
                <w:szCs w:val="20"/>
              </w:rPr>
              <w:t>69</w:t>
            </w:r>
          </w:p>
        </w:tc>
        <w:tc>
          <w:tcPr>
            <w:tcW w:w="1209" w:type="dxa"/>
            <w:vMerge/>
            <w:shd w:val="clear" w:color="auto" w:fill="auto"/>
          </w:tcPr>
          <w:p w14:paraId="5D50C1B9" w14:textId="77777777" w:rsidR="00112ED0" w:rsidRPr="00112ED0" w:rsidRDefault="00112ED0" w:rsidP="00055689">
            <w:pPr>
              <w:jc w:val="center"/>
              <w:rPr>
                <w:bCs/>
                <w:sz w:val="20"/>
                <w:szCs w:val="20"/>
              </w:rPr>
            </w:pPr>
          </w:p>
        </w:tc>
      </w:tr>
      <w:tr w:rsidR="00112ED0" w:rsidRPr="00112ED0" w14:paraId="04EBC4AE" w14:textId="77777777" w:rsidTr="00112ED0">
        <w:tc>
          <w:tcPr>
            <w:tcW w:w="1345" w:type="dxa"/>
            <w:tcBorders>
              <w:bottom w:val="single" w:sz="4" w:space="0" w:color="auto"/>
            </w:tcBorders>
            <w:shd w:val="clear" w:color="auto" w:fill="auto"/>
          </w:tcPr>
          <w:p w14:paraId="60C4AB0E" w14:textId="77777777" w:rsidR="00112ED0" w:rsidRPr="00112ED0" w:rsidRDefault="00112ED0" w:rsidP="00055689">
            <w:pPr>
              <w:rPr>
                <w:b/>
                <w:sz w:val="20"/>
                <w:szCs w:val="20"/>
              </w:rPr>
            </w:pPr>
          </w:p>
        </w:tc>
        <w:tc>
          <w:tcPr>
            <w:tcW w:w="1724" w:type="dxa"/>
            <w:tcBorders>
              <w:top w:val="single" w:sz="4" w:space="0" w:color="auto"/>
              <w:bottom w:val="single" w:sz="4" w:space="0" w:color="auto"/>
            </w:tcBorders>
            <w:shd w:val="clear" w:color="auto" w:fill="auto"/>
          </w:tcPr>
          <w:p w14:paraId="73E325DA" w14:textId="77777777" w:rsidR="00112ED0" w:rsidRPr="00112ED0" w:rsidRDefault="00112ED0" w:rsidP="00055689">
            <w:pPr>
              <w:jc w:val="center"/>
              <w:rPr>
                <w:b/>
                <w:sz w:val="20"/>
                <w:szCs w:val="20"/>
              </w:rPr>
            </w:pPr>
            <w:r w:rsidRPr="00112ED0">
              <w:rPr>
                <w:b/>
                <w:sz w:val="20"/>
                <w:szCs w:val="20"/>
              </w:rPr>
              <w:t>Total</w:t>
            </w:r>
          </w:p>
        </w:tc>
        <w:tc>
          <w:tcPr>
            <w:tcW w:w="632" w:type="dxa"/>
            <w:tcBorders>
              <w:top w:val="single" w:sz="4" w:space="0" w:color="auto"/>
              <w:bottom w:val="single" w:sz="4" w:space="0" w:color="auto"/>
            </w:tcBorders>
            <w:shd w:val="clear" w:color="auto" w:fill="auto"/>
            <w:vAlign w:val="center"/>
          </w:tcPr>
          <w:p w14:paraId="6C30205E" w14:textId="77777777" w:rsidR="00112ED0" w:rsidRPr="00112ED0" w:rsidRDefault="00112ED0" w:rsidP="00055689">
            <w:pPr>
              <w:jc w:val="center"/>
              <w:rPr>
                <w:b/>
                <w:sz w:val="20"/>
                <w:szCs w:val="20"/>
              </w:rPr>
            </w:pPr>
            <w:r w:rsidRPr="00112ED0">
              <w:rPr>
                <w:b/>
                <w:sz w:val="20"/>
                <w:szCs w:val="20"/>
              </w:rPr>
              <w:t>98</w:t>
            </w:r>
          </w:p>
        </w:tc>
        <w:tc>
          <w:tcPr>
            <w:tcW w:w="605" w:type="dxa"/>
            <w:tcBorders>
              <w:top w:val="single" w:sz="4" w:space="0" w:color="auto"/>
              <w:bottom w:val="single" w:sz="4" w:space="0" w:color="auto"/>
            </w:tcBorders>
            <w:shd w:val="clear" w:color="auto" w:fill="auto"/>
            <w:vAlign w:val="center"/>
          </w:tcPr>
          <w:p w14:paraId="0D569FE0" w14:textId="77777777" w:rsidR="00112ED0" w:rsidRPr="00112ED0" w:rsidRDefault="00112ED0" w:rsidP="00055689">
            <w:pPr>
              <w:jc w:val="center"/>
              <w:rPr>
                <w:b/>
                <w:sz w:val="20"/>
                <w:szCs w:val="20"/>
              </w:rPr>
            </w:pPr>
            <w:r w:rsidRPr="00112ED0">
              <w:rPr>
                <w:b/>
                <w:sz w:val="20"/>
                <w:szCs w:val="20"/>
              </w:rPr>
              <w:t>100</w:t>
            </w:r>
          </w:p>
        </w:tc>
        <w:tc>
          <w:tcPr>
            <w:tcW w:w="706" w:type="dxa"/>
            <w:tcBorders>
              <w:top w:val="single" w:sz="4" w:space="0" w:color="auto"/>
              <w:bottom w:val="single" w:sz="4" w:space="0" w:color="auto"/>
            </w:tcBorders>
            <w:shd w:val="clear" w:color="auto" w:fill="auto"/>
            <w:vAlign w:val="center"/>
          </w:tcPr>
          <w:p w14:paraId="4F40133D" w14:textId="77777777" w:rsidR="00112ED0" w:rsidRPr="00112ED0" w:rsidRDefault="00112ED0" w:rsidP="00055689">
            <w:pPr>
              <w:jc w:val="center"/>
              <w:rPr>
                <w:b/>
                <w:sz w:val="20"/>
                <w:szCs w:val="20"/>
              </w:rPr>
            </w:pPr>
            <w:r w:rsidRPr="00112ED0">
              <w:rPr>
                <w:b/>
                <w:sz w:val="20"/>
                <w:szCs w:val="20"/>
              </w:rPr>
              <w:t>37</w:t>
            </w:r>
          </w:p>
        </w:tc>
        <w:tc>
          <w:tcPr>
            <w:tcW w:w="607" w:type="dxa"/>
            <w:tcBorders>
              <w:top w:val="single" w:sz="4" w:space="0" w:color="auto"/>
              <w:bottom w:val="single" w:sz="4" w:space="0" w:color="auto"/>
            </w:tcBorders>
            <w:shd w:val="clear" w:color="auto" w:fill="auto"/>
            <w:vAlign w:val="center"/>
          </w:tcPr>
          <w:p w14:paraId="682EF435" w14:textId="77777777" w:rsidR="00112ED0" w:rsidRPr="00112ED0" w:rsidRDefault="00112ED0" w:rsidP="00055689">
            <w:pPr>
              <w:jc w:val="center"/>
              <w:rPr>
                <w:b/>
                <w:sz w:val="20"/>
                <w:szCs w:val="20"/>
              </w:rPr>
            </w:pPr>
            <w:r w:rsidRPr="00112ED0">
              <w:rPr>
                <w:b/>
                <w:sz w:val="20"/>
                <w:szCs w:val="20"/>
              </w:rPr>
              <w:t>100</w:t>
            </w:r>
          </w:p>
        </w:tc>
        <w:tc>
          <w:tcPr>
            <w:tcW w:w="650" w:type="dxa"/>
            <w:tcBorders>
              <w:top w:val="single" w:sz="4" w:space="0" w:color="auto"/>
              <w:bottom w:val="single" w:sz="4" w:space="0" w:color="auto"/>
            </w:tcBorders>
            <w:shd w:val="clear" w:color="auto" w:fill="auto"/>
          </w:tcPr>
          <w:p w14:paraId="6C5B886B" w14:textId="77777777" w:rsidR="00112ED0" w:rsidRPr="00112ED0" w:rsidRDefault="00112ED0" w:rsidP="00055689">
            <w:pPr>
              <w:jc w:val="center"/>
              <w:rPr>
                <w:b/>
                <w:sz w:val="20"/>
                <w:szCs w:val="20"/>
              </w:rPr>
            </w:pPr>
            <w:r w:rsidRPr="00112ED0">
              <w:rPr>
                <w:b/>
                <w:sz w:val="20"/>
                <w:szCs w:val="20"/>
              </w:rPr>
              <w:t>10</w:t>
            </w:r>
          </w:p>
        </w:tc>
        <w:tc>
          <w:tcPr>
            <w:tcW w:w="387" w:type="dxa"/>
            <w:tcBorders>
              <w:top w:val="single" w:sz="4" w:space="0" w:color="auto"/>
              <w:bottom w:val="single" w:sz="4" w:space="0" w:color="auto"/>
            </w:tcBorders>
            <w:shd w:val="clear" w:color="auto" w:fill="auto"/>
          </w:tcPr>
          <w:p w14:paraId="0E8D51AF" w14:textId="77777777" w:rsidR="00112ED0" w:rsidRPr="00112ED0" w:rsidRDefault="00112ED0" w:rsidP="00055689">
            <w:pPr>
              <w:jc w:val="center"/>
              <w:rPr>
                <w:b/>
                <w:sz w:val="20"/>
                <w:szCs w:val="20"/>
              </w:rPr>
            </w:pPr>
            <w:r w:rsidRPr="00112ED0">
              <w:rPr>
                <w:b/>
                <w:sz w:val="20"/>
                <w:szCs w:val="20"/>
              </w:rPr>
              <w:t>100</w:t>
            </w:r>
          </w:p>
        </w:tc>
        <w:tc>
          <w:tcPr>
            <w:tcW w:w="822" w:type="dxa"/>
            <w:tcBorders>
              <w:top w:val="single" w:sz="4" w:space="0" w:color="auto"/>
              <w:bottom w:val="single" w:sz="4" w:space="0" w:color="auto"/>
            </w:tcBorders>
            <w:shd w:val="clear" w:color="auto" w:fill="auto"/>
            <w:vAlign w:val="center"/>
          </w:tcPr>
          <w:p w14:paraId="5E834DC3" w14:textId="77777777" w:rsidR="00112ED0" w:rsidRPr="00112ED0" w:rsidRDefault="00112ED0" w:rsidP="00055689">
            <w:pPr>
              <w:jc w:val="center"/>
              <w:rPr>
                <w:b/>
                <w:sz w:val="20"/>
                <w:szCs w:val="20"/>
              </w:rPr>
            </w:pPr>
            <w:r w:rsidRPr="00112ED0">
              <w:rPr>
                <w:b/>
                <w:sz w:val="20"/>
                <w:szCs w:val="20"/>
              </w:rPr>
              <w:t>145</w:t>
            </w:r>
          </w:p>
        </w:tc>
        <w:tc>
          <w:tcPr>
            <w:tcW w:w="420" w:type="dxa"/>
            <w:tcBorders>
              <w:top w:val="single" w:sz="4" w:space="0" w:color="auto"/>
              <w:bottom w:val="single" w:sz="4" w:space="0" w:color="auto"/>
            </w:tcBorders>
            <w:shd w:val="clear" w:color="auto" w:fill="auto"/>
            <w:vAlign w:val="center"/>
          </w:tcPr>
          <w:p w14:paraId="6E4B0B9A" w14:textId="77777777" w:rsidR="00112ED0" w:rsidRPr="00112ED0" w:rsidRDefault="00112ED0" w:rsidP="00055689">
            <w:pPr>
              <w:jc w:val="center"/>
              <w:rPr>
                <w:b/>
                <w:sz w:val="20"/>
                <w:szCs w:val="20"/>
              </w:rPr>
            </w:pPr>
            <w:r w:rsidRPr="00112ED0">
              <w:rPr>
                <w:b/>
                <w:sz w:val="20"/>
                <w:szCs w:val="20"/>
              </w:rPr>
              <w:t>100</w:t>
            </w:r>
          </w:p>
        </w:tc>
        <w:tc>
          <w:tcPr>
            <w:tcW w:w="1209" w:type="dxa"/>
            <w:tcBorders>
              <w:top w:val="single" w:sz="4" w:space="0" w:color="auto"/>
              <w:bottom w:val="single" w:sz="4" w:space="0" w:color="auto"/>
            </w:tcBorders>
            <w:shd w:val="clear" w:color="auto" w:fill="auto"/>
          </w:tcPr>
          <w:p w14:paraId="50090403" w14:textId="77777777" w:rsidR="00112ED0" w:rsidRPr="00112ED0" w:rsidRDefault="00112ED0" w:rsidP="00055689">
            <w:pPr>
              <w:jc w:val="center"/>
              <w:rPr>
                <w:b/>
                <w:sz w:val="20"/>
                <w:szCs w:val="20"/>
              </w:rPr>
            </w:pPr>
          </w:p>
        </w:tc>
      </w:tr>
      <w:tr w:rsidR="00112ED0" w:rsidRPr="00112ED0" w14:paraId="09F5C375" w14:textId="77777777" w:rsidTr="00112ED0">
        <w:tc>
          <w:tcPr>
            <w:tcW w:w="1345" w:type="dxa"/>
            <w:vMerge w:val="restart"/>
            <w:tcBorders>
              <w:top w:val="single" w:sz="4" w:space="0" w:color="auto"/>
            </w:tcBorders>
            <w:shd w:val="clear" w:color="auto" w:fill="auto"/>
          </w:tcPr>
          <w:p w14:paraId="63E4F5AA" w14:textId="41E9E175" w:rsidR="00112ED0" w:rsidRPr="00112ED0" w:rsidRDefault="00112ED0" w:rsidP="00055689">
            <w:pPr>
              <w:jc w:val="center"/>
              <w:rPr>
                <w:bCs/>
                <w:sz w:val="20"/>
                <w:szCs w:val="20"/>
              </w:rPr>
            </w:pPr>
            <w:r>
              <w:rPr>
                <w:bCs/>
                <w:sz w:val="20"/>
                <w:szCs w:val="20"/>
              </w:rPr>
              <w:t>Appraisal Support</w:t>
            </w:r>
          </w:p>
        </w:tc>
        <w:tc>
          <w:tcPr>
            <w:tcW w:w="1724" w:type="dxa"/>
            <w:tcBorders>
              <w:top w:val="single" w:sz="4" w:space="0" w:color="auto"/>
            </w:tcBorders>
            <w:shd w:val="clear" w:color="auto" w:fill="auto"/>
          </w:tcPr>
          <w:p w14:paraId="61B16C46" w14:textId="2E8C3EF0" w:rsidR="00112ED0" w:rsidRPr="00112ED0" w:rsidRDefault="00112ED0" w:rsidP="00055689">
            <w:pPr>
              <w:jc w:val="center"/>
              <w:rPr>
                <w:bCs/>
                <w:sz w:val="20"/>
                <w:szCs w:val="20"/>
              </w:rPr>
            </w:pPr>
            <w:r>
              <w:rPr>
                <w:bCs/>
                <w:sz w:val="20"/>
                <w:szCs w:val="20"/>
              </w:rPr>
              <w:t>High</w:t>
            </w:r>
          </w:p>
        </w:tc>
        <w:tc>
          <w:tcPr>
            <w:tcW w:w="632" w:type="dxa"/>
            <w:tcBorders>
              <w:top w:val="single" w:sz="4" w:space="0" w:color="auto"/>
            </w:tcBorders>
            <w:shd w:val="clear" w:color="auto" w:fill="auto"/>
            <w:vAlign w:val="center"/>
          </w:tcPr>
          <w:p w14:paraId="6E939A62" w14:textId="77777777" w:rsidR="00112ED0" w:rsidRPr="00112ED0" w:rsidRDefault="00112ED0" w:rsidP="00055689">
            <w:pPr>
              <w:jc w:val="center"/>
              <w:rPr>
                <w:bCs/>
                <w:sz w:val="20"/>
                <w:szCs w:val="20"/>
              </w:rPr>
            </w:pPr>
            <w:r w:rsidRPr="00112ED0">
              <w:rPr>
                <w:bCs/>
                <w:sz w:val="20"/>
                <w:szCs w:val="20"/>
              </w:rPr>
              <w:t>0</w:t>
            </w:r>
          </w:p>
        </w:tc>
        <w:tc>
          <w:tcPr>
            <w:tcW w:w="605" w:type="dxa"/>
            <w:tcBorders>
              <w:top w:val="single" w:sz="4" w:space="0" w:color="auto"/>
            </w:tcBorders>
            <w:shd w:val="clear" w:color="auto" w:fill="auto"/>
            <w:vAlign w:val="center"/>
          </w:tcPr>
          <w:p w14:paraId="2F96A374" w14:textId="77777777" w:rsidR="00112ED0" w:rsidRPr="00112ED0" w:rsidRDefault="00112ED0" w:rsidP="00055689">
            <w:pPr>
              <w:jc w:val="center"/>
              <w:rPr>
                <w:bCs/>
                <w:sz w:val="20"/>
                <w:szCs w:val="20"/>
              </w:rPr>
            </w:pPr>
            <w:r w:rsidRPr="00112ED0">
              <w:rPr>
                <w:bCs/>
                <w:sz w:val="20"/>
                <w:szCs w:val="20"/>
              </w:rPr>
              <w:t>0</w:t>
            </w:r>
          </w:p>
        </w:tc>
        <w:tc>
          <w:tcPr>
            <w:tcW w:w="706" w:type="dxa"/>
            <w:tcBorders>
              <w:top w:val="single" w:sz="4" w:space="0" w:color="auto"/>
            </w:tcBorders>
            <w:shd w:val="clear" w:color="auto" w:fill="auto"/>
            <w:vAlign w:val="center"/>
          </w:tcPr>
          <w:p w14:paraId="41096ABD" w14:textId="77777777" w:rsidR="00112ED0" w:rsidRPr="00112ED0" w:rsidRDefault="00112ED0" w:rsidP="00055689">
            <w:pPr>
              <w:jc w:val="center"/>
              <w:rPr>
                <w:bCs/>
                <w:sz w:val="20"/>
                <w:szCs w:val="20"/>
              </w:rPr>
            </w:pPr>
            <w:r w:rsidRPr="00112ED0">
              <w:rPr>
                <w:bCs/>
                <w:sz w:val="20"/>
                <w:szCs w:val="20"/>
              </w:rPr>
              <w:t>33</w:t>
            </w:r>
          </w:p>
        </w:tc>
        <w:tc>
          <w:tcPr>
            <w:tcW w:w="607" w:type="dxa"/>
            <w:tcBorders>
              <w:top w:val="single" w:sz="4" w:space="0" w:color="auto"/>
            </w:tcBorders>
            <w:shd w:val="clear" w:color="auto" w:fill="auto"/>
            <w:vAlign w:val="center"/>
          </w:tcPr>
          <w:p w14:paraId="2150A715" w14:textId="77777777" w:rsidR="00112ED0" w:rsidRPr="00112ED0" w:rsidRDefault="00112ED0" w:rsidP="00055689">
            <w:pPr>
              <w:jc w:val="center"/>
              <w:rPr>
                <w:bCs/>
                <w:sz w:val="20"/>
                <w:szCs w:val="20"/>
              </w:rPr>
            </w:pPr>
            <w:r w:rsidRPr="00112ED0">
              <w:rPr>
                <w:bCs/>
                <w:sz w:val="20"/>
                <w:szCs w:val="20"/>
              </w:rPr>
              <w:t>89.2</w:t>
            </w:r>
          </w:p>
        </w:tc>
        <w:tc>
          <w:tcPr>
            <w:tcW w:w="650" w:type="dxa"/>
            <w:tcBorders>
              <w:top w:val="single" w:sz="4" w:space="0" w:color="auto"/>
            </w:tcBorders>
            <w:shd w:val="clear" w:color="auto" w:fill="auto"/>
          </w:tcPr>
          <w:p w14:paraId="2E26A2FA" w14:textId="77777777" w:rsidR="00112ED0" w:rsidRPr="00112ED0" w:rsidRDefault="00112ED0" w:rsidP="00055689">
            <w:pPr>
              <w:jc w:val="center"/>
              <w:rPr>
                <w:bCs/>
                <w:sz w:val="20"/>
                <w:szCs w:val="20"/>
              </w:rPr>
            </w:pPr>
            <w:r w:rsidRPr="00112ED0">
              <w:rPr>
                <w:bCs/>
                <w:sz w:val="20"/>
                <w:szCs w:val="20"/>
              </w:rPr>
              <w:t>5</w:t>
            </w:r>
          </w:p>
        </w:tc>
        <w:tc>
          <w:tcPr>
            <w:tcW w:w="387" w:type="dxa"/>
            <w:tcBorders>
              <w:top w:val="single" w:sz="4" w:space="0" w:color="auto"/>
            </w:tcBorders>
            <w:shd w:val="clear" w:color="auto" w:fill="auto"/>
          </w:tcPr>
          <w:p w14:paraId="1B471C33" w14:textId="77777777" w:rsidR="00112ED0" w:rsidRPr="00112ED0" w:rsidRDefault="00112ED0" w:rsidP="00055689">
            <w:pPr>
              <w:jc w:val="center"/>
              <w:rPr>
                <w:bCs/>
                <w:sz w:val="20"/>
                <w:szCs w:val="20"/>
              </w:rPr>
            </w:pPr>
            <w:r w:rsidRPr="00112ED0">
              <w:rPr>
                <w:bCs/>
                <w:sz w:val="20"/>
                <w:szCs w:val="20"/>
              </w:rPr>
              <w:t>50</w:t>
            </w:r>
          </w:p>
        </w:tc>
        <w:tc>
          <w:tcPr>
            <w:tcW w:w="822" w:type="dxa"/>
            <w:tcBorders>
              <w:top w:val="single" w:sz="4" w:space="0" w:color="auto"/>
            </w:tcBorders>
            <w:shd w:val="clear" w:color="auto" w:fill="auto"/>
            <w:vAlign w:val="center"/>
          </w:tcPr>
          <w:p w14:paraId="1211A008" w14:textId="77777777" w:rsidR="00112ED0" w:rsidRPr="00112ED0" w:rsidRDefault="00112ED0" w:rsidP="00055689">
            <w:pPr>
              <w:jc w:val="center"/>
              <w:rPr>
                <w:bCs/>
                <w:sz w:val="20"/>
                <w:szCs w:val="20"/>
              </w:rPr>
            </w:pPr>
            <w:r w:rsidRPr="00112ED0">
              <w:rPr>
                <w:bCs/>
                <w:sz w:val="20"/>
                <w:szCs w:val="20"/>
              </w:rPr>
              <w:t>38</w:t>
            </w:r>
          </w:p>
        </w:tc>
        <w:tc>
          <w:tcPr>
            <w:tcW w:w="420" w:type="dxa"/>
            <w:tcBorders>
              <w:top w:val="single" w:sz="4" w:space="0" w:color="auto"/>
            </w:tcBorders>
            <w:shd w:val="clear" w:color="auto" w:fill="auto"/>
            <w:vAlign w:val="center"/>
          </w:tcPr>
          <w:p w14:paraId="4934FBAB" w14:textId="77777777" w:rsidR="00112ED0" w:rsidRPr="00112ED0" w:rsidRDefault="00112ED0" w:rsidP="00055689">
            <w:pPr>
              <w:jc w:val="center"/>
              <w:rPr>
                <w:bCs/>
                <w:sz w:val="20"/>
                <w:szCs w:val="20"/>
              </w:rPr>
            </w:pPr>
            <w:r w:rsidRPr="00112ED0">
              <w:rPr>
                <w:bCs/>
                <w:sz w:val="20"/>
                <w:szCs w:val="20"/>
              </w:rPr>
              <w:t>26.2</w:t>
            </w:r>
          </w:p>
        </w:tc>
        <w:tc>
          <w:tcPr>
            <w:tcW w:w="1209" w:type="dxa"/>
            <w:vMerge w:val="restart"/>
            <w:tcBorders>
              <w:top w:val="single" w:sz="4" w:space="0" w:color="auto"/>
            </w:tcBorders>
            <w:shd w:val="clear" w:color="auto" w:fill="auto"/>
            <w:vAlign w:val="center"/>
          </w:tcPr>
          <w:p w14:paraId="10A7A1C5" w14:textId="175004DF" w:rsidR="00112ED0" w:rsidRPr="00112ED0" w:rsidRDefault="00112ED0" w:rsidP="00055689">
            <w:pPr>
              <w:jc w:val="center"/>
              <w:rPr>
                <w:bCs/>
                <w:sz w:val="20"/>
                <w:szCs w:val="20"/>
              </w:rPr>
            </w:pPr>
            <w:r w:rsidRPr="00112ED0">
              <w:rPr>
                <w:bCs/>
                <w:sz w:val="20"/>
                <w:szCs w:val="20"/>
              </w:rPr>
              <w:t>0</w:t>
            </w:r>
            <w:r>
              <w:rPr>
                <w:bCs/>
                <w:sz w:val="20"/>
                <w:szCs w:val="20"/>
              </w:rPr>
              <w:t>.</w:t>
            </w:r>
            <w:r w:rsidRPr="00112ED0">
              <w:rPr>
                <w:bCs/>
                <w:sz w:val="20"/>
                <w:szCs w:val="20"/>
              </w:rPr>
              <w:t>000</w:t>
            </w:r>
          </w:p>
        </w:tc>
      </w:tr>
      <w:tr w:rsidR="00112ED0" w:rsidRPr="00112ED0" w14:paraId="2A3DED7D" w14:textId="77777777" w:rsidTr="00112ED0">
        <w:tc>
          <w:tcPr>
            <w:tcW w:w="1345" w:type="dxa"/>
            <w:vMerge/>
            <w:shd w:val="clear" w:color="auto" w:fill="auto"/>
          </w:tcPr>
          <w:p w14:paraId="34581E85" w14:textId="77777777" w:rsidR="00112ED0" w:rsidRPr="00112ED0" w:rsidRDefault="00112ED0" w:rsidP="00055689">
            <w:pPr>
              <w:jc w:val="center"/>
              <w:rPr>
                <w:bCs/>
                <w:sz w:val="20"/>
                <w:szCs w:val="20"/>
              </w:rPr>
            </w:pPr>
          </w:p>
        </w:tc>
        <w:tc>
          <w:tcPr>
            <w:tcW w:w="1724" w:type="dxa"/>
            <w:shd w:val="clear" w:color="auto" w:fill="auto"/>
          </w:tcPr>
          <w:p w14:paraId="3397A4F1" w14:textId="28BC9636" w:rsidR="00112ED0" w:rsidRPr="00112ED0" w:rsidRDefault="00112ED0" w:rsidP="00055689">
            <w:pPr>
              <w:jc w:val="center"/>
              <w:rPr>
                <w:bCs/>
                <w:sz w:val="20"/>
                <w:szCs w:val="20"/>
              </w:rPr>
            </w:pPr>
            <w:r>
              <w:rPr>
                <w:bCs/>
                <w:sz w:val="20"/>
                <w:szCs w:val="20"/>
              </w:rPr>
              <w:t>Low</w:t>
            </w:r>
          </w:p>
        </w:tc>
        <w:tc>
          <w:tcPr>
            <w:tcW w:w="632" w:type="dxa"/>
            <w:shd w:val="clear" w:color="auto" w:fill="auto"/>
            <w:vAlign w:val="center"/>
          </w:tcPr>
          <w:p w14:paraId="5B9F761C" w14:textId="77777777" w:rsidR="00112ED0" w:rsidRPr="00112ED0" w:rsidRDefault="00112ED0" w:rsidP="00055689">
            <w:pPr>
              <w:jc w:val="center"/>
              <w:rPr>
                <w:bCs/>
                <w:sz w:val="20"/>
                <w:szCs w:val="20"/>
              </w:rPr>
            </w:pPr>
            <w:r w:rsidRPr="00112ED0">
              <w:rPr>
                <w:bCs/>
                <w:sz w:val="20"/>
                <w:szCs w:val="20"/>
              </w:rPr>
              <w:t>98</w:t>
            </w:r>
          </w:p>
        </w:tc>
        <w:tc>
          <w:tcPr>
            <w:tcW w:w="605" w:type="dxa"/>
            <w:shd w:val="clear" w:color="auto" w:fill="auto"/>
            <w:vAlign w:val="center"/>
          </w:tcPr>
          <w:p w14:paraId="0F82F1BB" w14:textId="77777777" w:rsidR="00112ED0" w:rsidRPr="00112ED0" w:rsidRDefault="00112ED0" w:rsidP="00055689">
            <w:pPr>
              <w:jc w:val="center"/>
              <w:rPr>
                <w:bCs/>
                <w:sz w:val="20"/>
                <w:szCs w:val="20"/>
              </w:rPr>
            </w:pPr>
            <w:r w:rsidRPr="00112ED0">
              <w:rPr>
                <w:bCs/>
                <w:sz w:val="20"/>
                <w:szCs w:val="20"/>
              </w:rPr>
              <w:t>100</w:t>
            </w:r>
          </w:p>
        </w:tc>
        <w:tc>
          <w:tcPr>
            <w:tcW w:w="706" w:type="dxa"/>
            <w:shd w:val="clear" w:color="auto" w:fill="auto"/>
            <w:vAlign w:val="center"/>
          </w:tcPr>
          <w:p w14:paraId="2D805971" w14:textId="77777777" w:rsidR="00112ED0" w:rsidRPr="00112ED0" w:rsidRDefault="00112ED0" w:rsidP="00055689">
            <w:pPr>
              <w:jc w:val="center"/>
              <w:rPr>
                <w:bCs/>
                <w:sz w:val="20"/>
                <w:szCs w:val="20"/>
              </w:rPr>
            </w:pPr>
            <w:r w:rsidRPr="00112ED0">
              <w:rPr>
                <w:bCs/>
                <w:sz w:val="20"/>
                <w:szCs w:val="20"/>
              </w:rPr>
              <w:t>4</w:t>
            </w:r>
          </w:p>
        </w:tc>
        <w:tc>
          <w:tcPr>
            <w:tcW w:w="607" w:type="dxa"/>
            <w:shd w:val="clear" w:color="auto" w:fill="auto"/>
            <w:vAlign w:val="center"/>
          </w:tcPr>
          <w:p w14:paraId="2FF41AF8" w14:textId="77777777" w:rsidR="00112ED0" w:rsidRPr="00112ED0" w:rsidRDefault="00112ED0" w:rsidP="00055689">
            <w:pPr>
              <w:jc w:val="center"/>
              <w:rPr>
                <w:bCs/>
                <w:sz w:val="20"/>
                <w:szCs w:val="20"/>
              </w:rPr>
            </w:pPr>
            <w:r w:rsidRPr="00112ED0">
              <w:rPr>
                <w:bCs/>
                <w:sz w:val="20"/>
                <w:szCs w:val="20"/>
              </w:rPr>
              <w:t>10.8</w:t>
            </w:r>
          </w:p>
        </w:tc>
        <w:tc>
          <w:tcPr>
            <w:tcW w:w="650" w:type="dxa"/>
            <w:shd w:val="clear" w:color="auto" w:fill="auto"/>
          </w:tcPr>
          <w:p w14:paraId="42BB6A8B" w14:textId="77777777" w:rsidR="00112ED0" w:rsidRPr="00112ED0" w:rsidRDefault="00112ED0" w:rsidP="00055689">
            <w:pPr>
              <w:jc w:val="center"/>
              <w:rPr>
                <w:bCs/>
                <w:sz w:val="20"/>
                <w:szCs w:val="20"/>
              </w:rPr>
            </w:pPr>
            <w:r w:rsidRPr="00112ED0">
              <w:rPr>
                <w:bCs/>
                <w:sz w:val="20"/>
                <w:szCs w:val="20"/>
              </w:rPr>
              <w:t>5</w:t>
            </w:r>
          </w:p>
        </w:tc>
        <w:tc>
          <w:tcPr>
            <w:tcW w:w="387" w:type="dxa"/>
            <w:shd w:val="clear" w:color="auto" w:fill="auto"/>
          </w:tcPr>
          <w:p w14:paraId="2AF33728" w14:textId="77777777" w:rsidR="00112ED0" w:rsidRPr="00112ED0" w:rsidRDefault="00112ED0" w:rsidP="00055689">
            <w:pPr>
              <w:jc w:val="center"/>
              <w:rPr>
                <w:bCs/>
                <w:sz w:val="20"/>
                <w:szCs w:val="20"/>
              </w:rPr>
            </w:pPr>
            <w:r w:rsidRPr="00112ED0">
              <w:rPr>
                <w:bCs/>
                <w:sz w:val="20"/>
                <w:szCs w:val="20"/>
              </w:rPr>
              <w:t>50</w:t>
            </w:r>
          </w:p>
        </w:tc>
        <w:tc>
          <w:tcPr>
            <w:tcW w:w="822" w:type="dxa"/>
            <w:shd w:val="clear" w:color="auto" w:fill="auto"/>
            <w:vAlign w:val="center"/>
          </w:tcPr>
          <w:p w14:paraId="4F97B925" w14:textId="77777777" w:rsidR="00112ED0" w:rsidRPr="00112ED0" w:rsidRDefault="00112ED0" w:rsidP="00055689">
            <w:pPr>
              <w:jc w:val="center"/>
              <w:rPr>
                <w:bCs/>
                <w:sz w:val="20"/>
                <w:szCs w:val="20"/>
              </w:rPr>
            </w:pPr>
            <w:r w:rsidRPr="00112ED0">
              <w:rPr>
                <w:bCs/>
                <w:sz w:val="20"/>
                <w:szCs w:val="20"/>
              </w:rPr>
              <w:t>107</w:t>
            </w:r>
          </w:p>
        </w:tc>
        <w:tc>
          <w:tcPr>
            <w:tcW w:w="420" w:type="dxa"/>
            <w:shd w:val="clear" w:color="auto" w:fill="auto"/>
            <w:vAlign w:val="center"/>
          </w:tcPr>
          <w:p w14:paraId="0AA6A274" w14:textId="77777777" w:rsidR="00112ED0" w:rsidRPr="00112ED0" w:rsidRDefault="00112ED0" w:rsidP="00055689">
            <w:pPr>
              <w:jc w:val="center"/>
              <w:rPr>
                <w:bCs/>
                <w:sz w:val="20"/>
                <w:szCs w:val="20"/>
              </w:rPr>
            </w:pPr>
            <w:r w:rsidRPr="00112ED0">
              <w:rPr>
                <w:bCs/>
                <w:sz w:val="20"/>
                <w:szCs w:val="20"/>
              </w:rPr>
              <w:t>73.8</w:t>
            </w:r>
          </w:p>
        </w:tc>
        <w:tc>
          <w:tcPr>
            <w:tcW w:w="1209" w:type="dxa"/>
            <w:vMerge/>
            <w:shd w:val="clear" w:color="auto" w:fill="auto"/>
          </w:tcPr>
          <w:p w14:paraId="35B2DFBC" w14:textId="77777777" w:rsidR="00112ED0" w:rsidRPr="00112ED0" w:rsidRDefault="00112ED0" w:rsidP="00055689">
            <w:pPr>
              <w:jc w:val="center"/>
              <w:rPr>
                <w:bCs/>
                <w:sz w:val="20"/>
                <w:szCs w:val="20"/>
              </w:rPr>
            </w:pPr>
          </w:p>
        </w:tc>
      </w:tr>
      <w:tr w:rsidR="00112ED0" w:rsidRPr="00112ED0" w14:paraId="0133BD1E" w14:textId="77777777" w:rsidTr="00112ED0">
        <w:tc>
          <w:tcPr>
            <w:tcW w:w="1345" w:type="dxa"/>
            <w:tcBorders>
              <w:bottom w:val="single" w:sz="4" w:space="0" w:color="auto"/>
            </w:tcBorders>
            <w:shd w:val="clear" w:color="auto" w:fill="auto"/>
          </w:tcPr>
          <w:p w14:paraId="24CCA51C" w14:textId="77777777" w:rsidR="00112ED0" w:rsidRPr="00112ED0" w:rsidRDefault="00112ED0" w:rsidP="00055689">
            <w:pPr>
              <w:rPr>
                <w:b/>
                <w:sz w:val="20"/>
                <w:szCs w:val="20"/>
              </w:rPr>
            </w:pPr>
          </w:p>
        </w:tc>
        <w:tc>
          <w:tcPr>
            <w:tcW w:w="1724" w:type="dxa"/>
            <w:tcBorders>
              <w:top w:val="single" w:sz="4" w:space="0" w:color="auto"/>
              <w:bottom w:val="single" w:sz="4" w:space="0" w:color="auto"/>
            </w:tcBorders>
            <w:shd w:val="clear" w:color="auto" w:fill="auto"/>
          </w:tcPr>
          <w:p w14:paraId="59E6EEB3" w14:textId="77777777" w:rsidR="00112ED0" w:rsidRPr="00112ED0" w:rsidRDefault="00112ED0" w:rsidP="00055689">
            <w:pPr>
              <w:jc w:val="center"/>
              <w:rPr>
                <w:b/>
                <w:sz w:val="20"/>
                <w:szCs w:val="20"/>
              </w:rPr>
            </w:pPr>
            <w:r w:rsidRPr="00112ED0">
              <w:rPr>
                <w:b/>
                <w:sz w:val="20"/>
                <w:szCs w:val="20"/>
              </w:rPr>
              <w:t>Total</w:t>
            </w:r>
          </w:p>
        </w:tc>
        <w:tc>
          <w:tcPr>
            <w:tcW w:w="632" w:type="dxa"/>
            <w:tcBorders>
              <w:top w:val="single" w:sz="4" w:space="0" w:color="auto"/>
              <w:bottom w:val="single" w:sz="4" w:space="0" w:color="auto"/>
            </w:tcBorders>
            <w:shd w:val="clear" w:color="auto" w:fill="auto"/>
            <w:vAlign w:val="center"/>
          </w:tcPr>
          <w:p w14:paraId="0B602677" w14:textId="77777777" w:rsidR="00112ED0" w:rsidRPr="00112ED0" w:rsidRDefault="00112ED0" w:rsidP="00055689">
            <w:pPr>
              <w:jc w:val="center"/>
              <w:rPr>
                <w:b/>
                <w:sz w:val="20"/>
                <w:szCs w:val="20"/>
              </w:rPr>
            </w:pPr>
            <w:r w:rsidRPr="00112ED0">
              <w:rPr>
                <w:b/>
                <w:sz w:val="20"/>
                <w:szCs w:val="20"/>
              </w:rPr>
              <w:t>98</w:t>
            </w:r>
          </w:p>
        </w:tc>
        <w:tc>
          <w:tcPr>
            <w:tcW w:w="605" w:type="dxa"/>
            <w:tcBorders>
              <w:top w:val="single" w:sz="4" w:space="0" w:color="auto"/>
              <w:bottom w:val="single" w:sz="4" w:space="0" w:color="auto"/>
            </w:tcBorders>
            <w:shd w:val="clear" w:color="auto" w:fill="auto"/>
            <w:vAlign w:val="center"/>
          </w:tcPr>
          <w:p w14:paraId="02B06A1E" w14:textId="77777777" w:rsidR="00112ED0" w:rsidRPr="00112ED0" w:rsidRDefault="00112ED0" w:rsidP="00055689">
            <w:pPr>
              <w:jc w:val="center"/>
              <w:rPr>
                <w:b/>
                <w:sz w:val="20"/>
                <w:szCs w:val="20"/>
              </w:rPr>
            </w:pPr>
            <w:r w:rsidRPr="00112ED0">
              <w:rPr>
                <w:b/>
                <w:sz w:val="20"/>
                <w:szCs w:val="20"/>
              </w:rPr>
              <w:t>100</w:t>
            </w:r>
          </w:p>
        </w:tc>
        <w:tc>
          <w:tcPr>
            <w:tcW w:w="706" w:type="dxa"/>
            <w:tcBorders>
              <w:top w:val="single" w:sz="4" w:space="0" w:color="auto"/>
              <w:bottom w:val="single" w:sz="4" w:space="0" w:color="auto"/>
            </w:tcBorders>
            <w:shd w:val="clear" w:color="auto" w:fill="auto"/>
            <w:vAlign w:val="center"/>
          </w:tcPr>
          <w:p w14:paraId="44E3ADEE" w14:textId="77777777" w:rsidR="00112ED0" w:rsidRPr="00112ED0" w:rsidRDefault="00112ED0" w:rsidP="00055689">
            <w:pPr>
              <w:jc w:val="center"/>
              <w:rPr>
                <w:b/>
                <w:sz w:val="20"/>
                <w:szCs w:val="20"/>
              </w:rPr>
            </w:pPr>
            <w:r w:rsidRPr="00112ED0">
              <w:rPr>
                <w:b/>
                <w:sz w:val="20"/>
                <w:szCs w:val="20"/>
              </w:rPr>
              <w:t>37</w:t>
            </w:r>
          </w:p>
        </w:tc>
        <w:tc>
          <w:tcPr>
            <w:tcW w:w="607" w:type="dxa"/>
            <w:tcBorders>
              <w:top w:val="single" w:sz="4" w:space="0" w:color="auto"/>
              <w:bottom w:val="single" w:sz="4" w:space="0" w:color="auto"/>
            </w:tcBorders>
            <w:shd w:val="clear" w:color="auto" w:fill="auto"/>
            <w:vAlign w:val="center"/>
          </w:tcPr>
          <w:p w14:paraId="6D9463AB" w14:textId="77777777" w:rsidR="00112ED0" w:rsidRPr="00112ED0" w:rsidRDefault="00112ED0" w:rsidP="00055689">
            <w:pPr>
              <w:jc w:val="center"/>
              <w:rPr>
                <w:b/>
                <w:sz w:val="20"/>
                <w:szCs w:val="20"/>
              </w:rPr>
            </w:pPr>
            <w:r w:rsidRPr="00112ED0">
              <w:rPr>
                <w:b/>
                <w:sz w:val="20"/>
                <w:szCs w:val="20"/>
              </w:rPr>
              <w:t>100</w:t>
            </w:r>
          </w:p>
        </w:tc>
        <w:tc>
          <w:tcPr>
            <w:tcW w:w="650" w:type="dxa"/>
            <w:tcBorders>
              <w:top w:val="single" w:sz="4" w:space="0" w:color="auto"/>
              <w:bottom w:val="single" w:sz="4" w:space="0" w:color="auto"/>
            </w:tcBorders>
            <w:shd w:val="clear" w:color="auto" w:fill="auto"/>
          </w:tcPr>
          <w:p w14:paraId="70C090A7" w14:textId="77777777" w:rsidR="00112ED0" w:rsidRPr="00112ED0" w:rsidRDefault="00112ED0" w:rsidP="00055689">
            <w:pPr>
              <w:jc w:val="center"/>
              <w:rPr>
                <w:b/>
                <w:sz w:val="20"/>
                <w:szCs w:val="20"/>
              </w:rPr>
            </w:pPr>
            <w:r w:rsidRPr="00112ED0">
              <w:rPr>
                <w:b/>
                <w:sz w:val="20"/>
                <w:szCs w:val="20"/>
              </w:rPr>
              <w:t>10</w:t>
            </w:r>
          </w:p>
        </w:tc>
        <w:tc>
          <w:tcPr>
            <w:tcW w:w="387" w:type="dxa"/>
            <w:tcBorders>
              <w:top w:val="single" w:sz="4" w:space="0" w:color="auto"/>
              <w:bottom w:val="single" w:sz="4" w:space="0" w:color="auto"/>
            </w:tcBorders>
            <w:shd w:val="clear" w:color="auto" w:fill="auto"/>
          </w:tcPr>
          <w:p w14:paraId="267A487C" w14:textId="77777777" w:rsidR="00112ED0" w:rsidRPr="00112ED0" w:rsidRDefault="00112ED0" w:rsidP="00055689">
            <w:pPr>
              <w:jc w:val="center"/>
              <w:rPr>
                <w:b/>
                <w:sz w:val="20"/>
                <w:szCs w:val="20"/>
              </w:rPr>
            </w:pPr>
            <w:r w:rsidRPr="00112ED0">
              <w:rPr>
                <w:b/>
                <w:sz w:val="20"/>
                <w:szCs w:val="20"/>
              </w:rPr>
              <w:t>100</w:t>
            </w:r>
          </w:p>
        </w:tc>
        <w:tc>
          <w:tcPr>
            <w:tcW w:w="822" w:type="dxa"/>
            <w:tcBorders>
              <w:top w:val="single" w:sz="4" w:space="0" w:color="auto"/>
              <w:bottom w:val="single" w:sz="4" w:space="0" w:color="auto"/>
            </w:tcBorders>
            <w:shd w:val="clear" w:color="auto" w:fill="auto"/>
            <w:vAlign w:val="center"/>
          </w:tcPr>
          <w:p w14:paraId="3C3B9397" w14:textId="77777777" w:rsidR="00112ED0" w:rsidRPr="00112ED0" w:rsidRDefault="00112ED0" w:rsidP="00055689">
            <w:pPr>
              <w:jc w:val="center"/>
              <w:rPr>
                <w:b/>
                <w:sz w:val="20"/>
                <w:szCs w:val="20"/>
              </w:rPr>
            </w:pPr>
            <w:r w:rsidRPr="00112ED0">
              <w:rPr>
                <w:b/>
                <w:sz w:val="20"/>
                <w:szCs w:val="20"/>
              </w:rPr>
              <w:t>145</w:t>
            </w:r>
          </w:p>
        </w:tc>
        <w:tc>
          <w:tcPr>
            <w:tcW w:w="420" w:type="dxa"/>
            <w:tcBorders>
              <w:top w:val="single" w:sz="4" w:space="0" w:color="auto"/>
              <w:bottom w:val="single" w:sz="4" w:space="0" w:color="auto"/>
            </w:tcBorders>
            <w:shd w:val="clear" w:color="auto" w:fill="auto"/>
            <w:vAlign w:val="center"/>
          </w:tcPr>
          <w:p w14:paraId="5499D9D3" w14:textId="77777777" w:rsidR="00112ED0" w:rsidRPr="00112ED0" w:rsidRDefault="00112ED0" w:rsidP="00055689">
            <w:pPr>
              <w:jc w:val="center"/>
              <w:rPr>
                <w:b/>
                <w:sz w:val="20"/>
                <w:szCs w:val="20"/>
              </w:rPr>
            </w:pPr>
            <w:r w:rsidRPr="00112ED0">
              <w:rPr>
                <w:b/>
                <w:sz w:val="20"/>
                <w:szCs w:val="20"/>
              </w:rPr>
              <w:t>100</w:t>
            </w:r>
          </w:p>
        </w:tc>
        <w:tc>
          <w:tcPr>
            <w:tcW w:w="1209" w:type="dxa"/>
            <w:tcBorders>
              <w:top w:val="single" w:sz="4" w:space="0" w:color="auto"/>
              <w:bottom w:val="single" w:sz="4" w:space="0" w:color="auto"/>
            </w:tcBorders>
            <w:shd w:val="clear" w:color="auto" w:fill="auto"/>
          </w:tcPr>
          <w:p w14:paraId="2D4668EB" w14:textId="77777777" w:rsidR="00112ED0" w:rsidRPr="00112ED0" w:rsidRDefault="00112ED0" w:rsidP="00055689">
            <w:pPr>
              <w:jc w:val="center"/>
              <w:rPr>
                <w:b/>
                <w:sz w:val="20"/>
                <w:szCs w:val="20"/>
              </w:rPr>
            </w:pPr>
          </w:p>
        </w:tc>
      </w:tr>
    </w:tbl>
    <w:p w14:paraId="0221C997" w14:textId="77777777" w:rsidR="00112ED0" w:rsidRDefault="00112ED0" w:rsidP="00112ED0">
      <w:pPr>
        <w:widowControl w:val="0"/>
        <w:autoSpaceDE w:val="0"/>
        <w:autoSpaceDN w:val="0"/>
        <w:adjustRightInd w:val="0"/>
        <w:jc w:val="both"/>
        <w:rPr>
          <w:sz w:val="20"/>
          <w:szCs w:val="20"/>
        </w:rPr>
      </w:pPr>
    </w:p>
    <w:p w14:paraId="74F52E43" w14:textId="1EE23D6B" w:rsidR="003834FB" w:rsidRDefault="003834FB" w:rsidP="00B8229D">
      <w:pPr>
        <w:widowControl w:val="0"/>
        <w:autoSpaceDE w:val="0"/>
        <w:autoSpaceDN w:val="0"/>
        <w:adjustRightInd w:val="0"/>
        <w:ind w:firstLine="567"/>
        <w:jc w:val="both"/>
        <w:rPr>
          <w:sz w:val="20"/>
          <w:szCs w:val="20"/>
        </w:rPr>
      </w:pPr>
      <w:r w:rsidRPr="003834FB">
        <w:rPr>
          <w:sz w:val="20"/>
          <w:szCs w:val="20"/>
        </w:rPr>
        <w:t xml:space="preserve">In this study, the type of social support is the support provided by the respondent's social environment to smoke / vaping. </w:t>
      </w:r>
      <w:proofErr w:type="spellStart"/>
      <w:r w:rsidRPr="003834FB">
        <w:rPr>
          <w:sz w:val="20"/>
          <w:szCs w:val="20"/>
        </w:rPr>
        <w:t>Sarafino</w:t>
      </w:r>
      <w:proofErr w:type="spellEnd"/>
      <w:r w:rsidRPr="003834FB">
        <w:rPr>
          <w:sz w:val="20"/>
          <w:szCs w:val="20"/>
        </w:rPr>
        <w:t xml:space="preserve"> </w:t>
      </w:r>
      <w:r w:rsidR="00CF28E5">
        <w:rPr>
          <w:sz w:val="20"/>
          <w:szCs w:val="20"/>
        </w:rPr>
        <w:fldChar w:fldCharType="begin" w:fldLock="1"/>
      </w:r>
      <w:r w:rsidR="00CF28E5">
        <w:rPr>
          <w:sz w:val="20"/>
          <w:szCs w:val="20"/>
        </w:rPr>
        <w:instrText>ADDIN CSL_CITATION {"citationItems":[{"id":"ITEM-1","itemData":{"author":[{"dropping-particle":"","family":"Sarafino","given":"Edward P.","non-dropping-particle":"","parse-names":false,"suffix":""}],"id":"ITEM-1","issued":{"date-parts":[["2014"]]},"publisher":"John Wiley &amp; Sons Inc","publisher-place":"New Jersey","title":"Health Psychology : Biopsychososial Interactions 8th Edition.","type":"book"},"uris":["http://www.mendeley.com/documents/?uuid=e5e0115c-c53c-4565-be0d-5ac68ff76a8a"]}],"mendeley":{"formattedCitation":"(Sarafino, 2014)","manualFormatting":"(2014)","plainTextFormattedCitation":"(Sarafino, 2014)","previouslyFormattedCitation":"(Sarafino, 2014)"},"properties":{"noteIndex":0},"schema":"https://github.com/citation-style-language/schema/raw/master/csl-citation.json"}</w:instrText>
      </w:r>
      <w:r w:rsidR="00CF28E5">
        <w:rPr>
          <w:sz w:val="20"/>
          <w:szCs w:val="20"/>
        </w:rPr>
        <w:fldChar w:fldCharType="separate"/>
      </w:r>
      <w:r w:rsidR="00CF28E5" w:rsidRPr="00CF28E5">
        <w:rPr>
          <w:noProof/>
          <w:sz w:val="20"/>
          <w:szCs w:val="20"/>
        </w:rPr>
        <w:t>(2014)</w:t>
      </w:r>
      <w:r w:rsidR="00CF28E5">
        <w:rPr>
          <w:sz w:val="20"/>
          <w:szCs w:val="20"/>
        </w:rPr>
        <w:fldChar w:fldCharType="end"/>
      </w:r>
      <w:r w:rsidRPr="003834FB">
        <w:rPr>
          <w:sz w:val="20"/>
          <w:szCs w:val="20"/>
        </w:rPr>
        <w:t xml:space="preserve"> divides social support into four categories: instrumental support, informational support, emotional support, and appr</w:t>
      </w:r>
      <w:r>
        <w:rPr>
          <w:sz w:val="20"/>
          <w:szCs w:val="20"/>
        </w:rPr>
        <w:t>aisal</w:t>
      </w:r>
      <w:r w:rsidRPr="003834FB">
        <w:rPr>
          <w:sz w:val="20"/>
          <w:szCs w:val="20"/>
        </w:rPr>
        <w:t xml:space="preserve"> support.</w:t>
      </w:r>
    </w:p>
    <w:p w14:paraId="7D213DBE" w14:textId="77777777" w:rsidR="003834FB" w:rsidRDefault="003834FB" w:rsidP="00DE5971">
      <w:pPr>
        <w:widowControl w:val="0"/>
        <w:autoSpaceDE w:val="0"/>
        <w:autoSpaceDN w:val="0"/>
        <w:adjustRightInd w:val="0"/>
        <w:jc w:val="both"/>
        <w:rPr>
          <w:sz w:val="20"/>
          <w:szCs w:val="20"/>
        </w:rPr>
      </w:pPr>
    </w:p>
    <w:p w14:paraId="5DBC3E86" w14:textId="19B77DE3" w:rsidR="00D6573C" w:rsidRPr="00D6573C" w:rsidRDefault="00D6573C" w:rsidP="003834FB">
      <w:pPr>
        <w:widowControl w:val="0"/>
        <w:autoSpaceDE w:val="0"/>
        <w:autoSpaceDN w:val="0"/>
        <w:adjustRightInd w:val="0"/>
        <w:jc w:val="both"/>
        <w:rPr>
          <w:b/>
          <w:bCs/>
          <w:sz w:val="20"/>
          <w:szCs w:val="20"/>
        </w:rPr>
      </w:pPr>
      <w:r>
        <w:rPr>
          <w:b/>
          <w:bCs/>
          <w:sz w:val="20"/>
          <w:szCs w:val="20"/>
        </w:rPr>
        <w:t>The Relationship between Instrumental Support and Smoking / Vaping Behavior</w:t>
      </w:r>
    </w:p>
    <w:p w14:paraId="6A615DEE" w14:textId="77777777" w:rsidR="00D6573C" w:rsidRDefault="00D6573C" w:rsidP="00B8229D">
      <w:pPr>
        <w:widowControl w:val="0"/>
        <w:autoSpaceDE w:val="0"/>
        <w:autoSpaceDN w:val="0"/>
        <w:adjustRightInd w:val="0"/>
        <w:ind w:firstLine="567"/>
        <w:jc w:val="both"/>
        <w:rPr>
          <w:sz w:val="20"/>
          <w:szCs w:val="20"/>
        </w:rPr>
      </w:pPr>
      <w:r w:rsidRPr="00D6573C">
        <w:rPr>
          <w:sz w:val="20"/>
          <w:szCs w:val="20"/>
        </w:rPr>
        <w:t xml:space="preserve">The instrumental support of this study is the support from the respondent's social environment, both </w:t>
      </w:r>
      <w:r w:rsidRPr="00D6573C">
        <w:rPr>
          <w:sz w:val="20"/>
          <w:szCs w:val="20"/>
        </w:rPr>
        <w:lastRenderedPageBreak/>
        <w:t xml:space="preserve">nonsmokers and fellow smokers, in the form of direct offerings (cigarettes, vape, money, or other forms) to do smoking / vaping behaviors. </w:t>
      </w:r>
    </w:p>
    <w:p w14:paraId="7D2E74D4" w14:textId="434C44F6" w:rsidR="00D6573C" w:rsidRDefault="00D6573C" w:rsidP="00B8229D">
      <w:pPr>
        <w:widowControl w:val="0"/>
        <w:autoSpaceDE w:val="0"/>
        <w:autoSpaceDN w:val="0"/>
        <w:adjustRightInd w:val="0"/>
        <w:ind w:firstLine="567"/>
        <w:jc w:val="both"/>
        <w:rPr>
          <w:sz w:val="20"/>
          <w:szCs w:val="20"/>
        </w:rPr>
      </w:pPr>
      <w:r w:rsidRPr="00D6573C">
        <w:rPr>
          <w:sz w:val="20"/>
          <w:szCs w:val="20"/>
        </w:rPr>
        <w:t>According to Table 4, there were 39 respondents with high instrumental support. 32 of them smoked, consisting of 26 respondents smoked e-cigarettes (vape) and 6 respondents smoked other types of cigarettes.</w:t>
      </w:r>
      <w:r w:rsidR="00BC7BF8">
        <w:rPr>
          <w:sz w:val="20"/>
          <w:szCs w:val="20"/>
        </w:rPr>
        <w:t xml:space="preserve"> </w:t>
      </w:r>
      <w:r w:rsidR="007B550B">
        <w:rPr>
          <w:sz w:val="20"/>
          <w:szCs w:val="20"/>
        </w:rPr>
        <w:t>However</w:t>
      </w:r>
      <w:r w:rsidR="00BC7BF8">
        <w:rPr>
          <w:sz w:val="20"/>
          <w:szCs w:val="20"/>
        </w:rPr>
        <w:t>,</w:t>
      </w:r>
      <w:r>
        <w:rPr>
          <w:sz w:val="20"/>
          <w:szCs w:val="20"/>
        </w:rPr>
        <w:t xml:space="preserve"> </w:t>
      </w:r>
      <w:r w:rsidRPr="00D6573C">
        <w:rPr>
          <w:sz w:val="20"/>
          <w:szCs w:val="20"/>
        </w:rPr>
        <w:t xml:space="preserve">there were 7 respondents who did not smoke. This is due to their ability to refuse direct offerings in the form of cigarettes or vape to be smoked. </w:t>
      </w:r>
    </w:p>
    <w:p w14:paraId="3E2FF80F" w14:textId="0A41934D" w:rsidR="00D6573C" w:rsidRDefault="00D6573C" w:rsidP="00B8229D">
      <w:pPr>
        <w:widowControl w:val="0"/>
        <w:autoSpaceDE w:val="0"/>
        <w:autoSpaceDN w:val="0"/>
        <w:adjustRightInd w:val="0"/>
        <w:ind w:firstLine="567"/>
        <w:jc w:val="both"/>
        <w:rPr>
          <w:sz w:val="20"/>
          <w:szCs w:val="20"/>
        </w:rPr>
      </w:pPr>
      <w:r w:rsidRPr="00D6573C">
        <w:rPr>
          <w:sz w:val="20"/>
          <w:szCs w:val="20"/>
        </w:rPr>
        <w:t>There were 15 respondents who smoked, including 11 vape smokers and 4 other types of cigarett</w:t>
      </w:r>
      <w:r>
        <w:rPr>
          <w:sz w:val="20"/>
          <w:szCs w:val="20"/>
        </w:rPr>
        <w:t>es</w:t>
      </w:r>
      <w:r w:rsidRPr="00D6573C">
        <w:rPr>
          <w:sz w:val="20"/>
          <w:szCs w:val="20"/>
        </w:rPr>
        <w:t>, among the 106 respondents with low instrumental support. It due to the instrumental supports from social environments the respondents get such as, parents give</w:t>
      </w:r>
      <w:r>
        <w:rPr>
          <w:sz w:val="20"/>
          <w:szCs w:val="20"/>
        </w:rPr>
        <w:t xml:space="preserve"> </w:t>
      </w:r>
      <w:r w:rsidRPr="00D6573C">
        <w:rPr>
          <w:sz w:val="20"/>
          <w:szCs w:val="20"/>
        </w:rPr>
        <w:t xml:space="preserve">extra pocket money so that the respondents can buy cigarettes / vape moreover respondents get cigarettes / vape directly from their friends when they are hanging out together. </w:t>
      </w:r>
    </w:p>
    <w:p w14:paraId="5881EEA2" w14:textId="7C413AB2" w:rsidR="00D6573C" w:rsidRDefault="00D6573C" w:rsidP="00B8229D">
      <w:pPr>
        <w:widowControl w:val="0"/>
        <w:autoSpaceDE w:val="0"/>
        <w:autoSpaceDN w:val="0"/>
        <w:adjustRightInd w:val="0"/>
        <w:ind w:firstLine="567"/>
        <w:jc w:val="both"/>
        <w:rPr>
          <w:sz w:val="20"/>
          <w:szCs w:val="20"/>
        </w:rPr>
      </w:pPr>
      <w:r w:rsidRPr="00D6573C">
        <w:rPr>
          <w:sz w:val="20"/>
          <w:szCs w:val="20"/>
        </w:rPr>
        <w:t xml:space="preserve">According to </w:t>
      </w:r>
      <w:proofErr w:type="spellStart"/>
      <w:r w:rsidRPr="00D6573C">
        <w:rPr>
          <w:sz w:val="20"/>
          <w:szCs w:val="20"/>
        </w:rPr>
        <w:t>Hasna's</w:t>
      </w:r>
      <w:proofErr w:type="spellEnd"/>
      <w:r w:rsidRPr="00D6573C">
        <w:rPr>
          <w:sz w:val="20"/>
          <w:szCs w:val="20"/>
        </w:rPr>
        <w:t xml:space="preserve"> </w:t>
      </w:r>
      <w:r w:rsidR="00CF28E5">
        <w:rPr>
          <w:sz w:val="20"/>
          <w:szCs w:val="20"/>
        </w:rPr>
        <w:fldChar w:fldCharType="begin" w:fldLock="1"/>
      </w:r>
      <w:r w:rsidR="00CF28E5">
        <w:rPr>
          <w:sz w:val="20"/>
          <w:szCs w:val="20"/>
        </w:rPr>
        <w:instrText>ADDIN CSL_CITATION {"citationItems":[{"id":"ITEM-1","itemData":{"ISSN":"2356-3346","abstract":"Based on the results of the preliminary survey that conducted by the researcher by spreading questionnaires to 581 High School students in Bekasi resulting 22.3% smoke electronic cigarette with details the active novice smokers who're using electronic cigarette in the amount of 8.3% while about 13.4% where the smokers who used to smoke tobacco cigarette are now moved on to electronic cigarette. The purpose of this research is to analyze the factors that associated with the usage of electronic cigarette to novice smokers in Bekasi City's High School. The type of this research is descriptive analytic with quantitative approach method. The used research design is cross-sectional study, where the amount of the population in this research is 52 people who are novice electronic smokers in four Bekasi City's High School. The Total of Population technique is used to get the sample for this research where the entire population get the chance to be the sample for the research. Data analysis includes descriptive analysis with the presentation of the frequency distribution table and the analytic analysis uses Chi-Square test to see whether there or not there the relation between respondents' friends' support and family's support with the usage of electronic cigarette in Bekasi City's High School. Statistical test results show that 67.3% respondents use electronic cigarrete. The variables related with the usage of electronic cigarette to novice smokers in Bekasi City's High School is the availability of the electronic cigarette (p-value = 0.000), the affordability of the electronic cigarette (p-value = 0.000), and the respondents' friends' support (p-value = 0.016). While the respondents' knowledge about the electronic cigarette (p-vaalue = 0.416), the respondents' attitude to the usage of the electronic cigarette (p-value = 0.538), the respondents' pocket money (p-value = 1.000) and the family's support (p-value = 0,238) is not related with the usage of the electronic cigarette to novice smokers in Bekasi City's High School.","author":[{"dropping-particle":"","family":"Hasna","given":"F.","non-dropping-particle":"","parse-names":false,"suffix":""},{"dropping-particle":"","family":"Cahyo","given":"K.","non-dropping-particle":"","parse-names":false,"suffix":""},{"dropping-particle":"","family":"Widagdo","given":"L.","non-dropping-particle":"","parse-names":false,"suffix":""}],"container-title":"Jurnal Kesehatan Masyarakat Universitas Diponegoro","id":"ITEM-1","issue":"3","issued":{"date-parts":[["2017"]]},"page":"548-557","title":"Faktor-Faktor Yang Berhubungan Dengan Penggunaan Rokok Elektrik Pada Perokok Pemuladi Sma Kota Bekasi","type":"article-journal","volume":"5"},"uris":["http://www.mendeley.com/documents/?uuid=05e2ebcc-ae71-4f03-b804-e8d374eec7a1"]}],"mendeley":{"formattedCitation":"(Hasna, Cahyo and Widagdo, 2017)","manualFormatting":"(2017)","plainTextFormattedCitation":"(Hasna, Cahyo and Widagdo, 2017)","previouslyFormattedCitation":"(Hasna, Cahyo and Widagdo, 2017)"},"properties":{"noteIndex":0},"schema":"https://github.com/citation-style-language/schema/raw/master/csl-citation.json"}</w:instrText>
      </w:r>
      <w:r w:rsidR="00CF28E5">
        <w:rPr>
          <w:sz w:val="20"/>
          <w:szCs w:val="20"/>
        </w:rPr>
        <w:fldChar w:fldCharType="separate"/>
      </w:r>
      <w:r w:rsidR="00CF28E5" w:rsidRPr="00CF28E5">
        <w:rPr>
          <w:noProof/>
          <w:sz w:val="20"/>
          <w:szCs w:val="20"/>
        </w:rPr>
        <w:t>(2017)</w:t>
      </w:r>
      <w:r w:rsidR="00CF28E5">
        <w:rPr>
          <w:sz w:val="20"/>
          <w:szCs w:val="20"/>
        </w:rPr>
        <w:fldChar w:fldCharType="end"/>
      </w:r>
      <w:r w:rsidRPr="00D6573C">
        <w:rPr>
          <w:sz w:val="20"/>
          <w:szCs w:val="20"/>
        </w:rPr>
        <w:t xml:space="preserve"> study, there is a relationship between peer support and the use of electric cigarettes, increasing the probability of using electric cigarettes. Furthermore, </w:t>
      </w:r>
      <w:proofErr w:type="spellStart"/>
      <w:r w:rsidRPr="00D6573C">
        <w:rPr>
          <w:sz w:val="20"/>
          <w:szCs w:val="20"/>
        </w:rPr>
        <w:t>Yulviana</w:t>
      </w:r>
      <w:proofErr w:type="spellEnd"/>
      <w:r w:rsidRPr="00D6573C">
        <w:rPr>
          <w:sz w:val="20"/>
          <w:szCs w:val="20"/>
        </w:rPr>
        <w:t xml:space="preserve"> </w:t>
      </w:r>
      <w:r w:rsidR="00CF28E5">
        <w:rPr>
          <w:sz w:val="20"/>
          <w:szCs w:val="20"/>
        </w:rPr>
        <w:fldChar w:fldCharType="begin" w:fldLock="1"/>
      </w:r>
      <w:r w:rsidR="00CF28E5">
        <w:rPr>
          <w:sz w:val="20"/>
          <w:szCs w:val="20"/>
        </w:rPr>
        <w:instrText>ADDIN CSL_CITATION {"citationItems":[{"id":"ITEM-1","itemData":{"ISSN":"2088-7612","abstract":"Smoking is a habit that is difficult to stop, as well as a negative impact for the smoker and the people around him. Survey of World Health Organizatio (WHO), teen deaths in 2030 reached 10 million people per year. While in Indonesia, University of Indonesia Demographic surveys by as many as 427 948 people dead teenagers on average per year from a variety diseases caused by smoking, The purpose of this study was to determine the relationship factor allowance, dad smokers, and smokers with peers on adolescent smoking son in SMA 6 Pekanbaru. This study cross-sectional design with a quantitative approach. The study population was all students in classes X and XI SMA Negeri 6 Pekanbaru amounted to 390 people with a large sample of 131 people. This study using simple random sampling technique. Statistical tests using the chi square test. The results obtained from the 131 respondents, 63 people (48.1%) had a smoking habit, 38 people (44.2%) had high knowledge about cigarette with p value 1.6, 36 people (59%) related to the allowance p value = 0.03, 54 people (56.3%) related by father smokers with p value 0.04, 45 people (57.7%) related to peer smokers with p value 0.01. The conclusion of this study is the relationship between money pocket, dad smokers, and smokers with peer smoking habits in young men in the class X and XI SMA 6 Pekabaru.","author":[{"dropping-particle":"","family":"Yulviana","given":"Rina","non-dropping-particle":"","parse-names":false,"suffix":""}],"container-title":"Jurnal Kesehatan Komunitas","id":"ITEM-1","issue":"6","issued":{"date-parts":[["2015"]]},"page":"278-282","title":"Faktor-Faktor yang Berhubungan dengan Kebiasaan Merokok pada Remaja Putra Kelas X dan XI di SMA Negeri 6 Pekanbaru","type":"article-journal","volume":"2"},"uris":["http://www.mendeley.com/documents/?uuid=5d0896ba-11b7-4e03-a97a-d96bddb0b465"]}],"mendeley":{"formattedCitation":"(Yulviana, 2015)","manualFormatting":"(2015)","plainTextFormattedCitation":"(Yulviana, 2015)","previouslyFormattedCitation":"(Yulviana, 2015)"},"properties":{"noteIndex":0},"schema":"https://github.com/citation-style-language/schema/raw/master/csl-citation.json"}</w:instrText>
      </w:r>
      <w:r w:rsidR="00CF28E5">
        <w:rPr>
          <w:sz w:val="20"/>
          <w:szCs w:val="20"/>
        </w:rPr>
        <w:fldChar w:fldCharType="separate"/>
      </w:r>
      <w:r w:rsidR="00CF28E5" w:rsidRPr="00CF28E5">
        <w:rPr>
          <w:noProof/>
          <w:sz w:val="20"/>
          <w:szCs w:val="20"/>
        </w:rPr>
        <w:t>(2015)</w:t>
      </w:r>
      <w:r w:rsidR="00CF28E5">
        <w:rPr>
          <w:sz w:val="20"/>
          <w:szCs w:val="20"/>
        </w:rPr>
        <w:fldChar w:fldCharType="end"/>
      </w:r>
      <w:r w:rsidRPr="00D6573C">
        <w:rPr>
          <w:sz w:val="20"/>
          <w:szCs w:val="20"/>
        </w:rPr>
        <w:t xml:space="preserve"> found that adolescents with extra pocket money to buy cigarettes are 2.33 times more likely to have a smoking</w:t>
      </w:r>
      <w:r>
        <w:rPr>
          <w:sz w:val="20"/>
          <w:szCs w:val="20"/>
        </w:rPr>
        <w:t xml:space="preserve"> </w:t>
      </w:r>
      <w:r w:rsidRPr="00D6573C">
        <w:rPr>
          <w:sz w:val="20"/>
          <w:szCs w:val="20"/>
        </w:rPr>
        <w:t>behavior than adolescents with limited pocket money to buy cigarettes.</w:t>
      </w:r>
    </w:p>
    <w:p w14:paraId="3D99B52D" w14:textId="77777777" w:rsidR="00D6573C" w:rsidRDefault="00D6573C" w:rsidP="00B8229D">
      <w:pPr>
        <w:widowControl w:val="0"/>
        <w:autoSpaceDE w:val="0"/>
        <w:autoSpaceDN w:val="0"/>
        <w:adjustRightInd w:val="0"/>
        <w:ind w:firstLine="567"/>
        <w:jc w:val="both"/>
        <w:rPr>
          <w:sz w:val="20"/>
          <w:szCs w:val="20"/>
        </w:rPr>
      </w:pPr>
    </w:p>
    <w:p w14:paraId="1A20E1BA" w14:textId="7A80518B" w:rsidR="00D6573C" w:rsidRPr="00D6573C" w:rsidRDefault="00D6573C" w:rsidP="00D6573C">
      <w:pPr>
        <w:widowControl w:val="0"/>
        <w:autoSpaceDE w:val="0"/>
        <w:autoSpaceDN w:val="0"/>
        <w:adjustRightInd w:val="0"/>
        <w:jc w:val="both"/>
        <w:rPr>
          <w:b/>
          <w:bCs/>
          <w:sz w:val="20"/>
          <w:szCs w:val="20"/>
        </w:rPr>
      </w:pPr>
      <w:r>
        <w:rPr>
          <w:b/>
          <w:bCs/>
          <w:sz w:val="20"/>
          <w:szCs w:val="20"/>
        </w:rPr>
        <w:t>The Relationship between Informational Support and Smoking / Vaping Behavior</w:t>
      </w:r>
    </w:p>
    <w:p w14:paraId="431C437A" w14:textId="77777777" w:rsidR="00D6573C" w:rsidRDefault="00D6573C" w:rsidP="00B8229D">
      <w:pPr>
        <w:widowControl w:val="0"/>
        <w:autoSpaceDE w:val="0"/>
        <w:autoSpaceDN w:val="0"/>
        <w:adjustRightInd w:val="0"/>
        <w:ind w:firstLine="567"/>
        <w:jc w:val="both"/>
        <w:rPr>
          <w:sz w:val="20"/>
          <w:szCs w:val="20"/>
        </w:rPr>
      </w:pPr>
      <w:r w:rsidRPr="00D6573C">
        <w:rPr>
          <w:sz w:val="20"/>
          <w:szCs w:val="20"/>
        </w:rPr>
        <w:t xml:space="preserve">Informational support refers to the respondent's social environment's support in the form of information or suggestions about cigarettes to have smoking / vaping behaviors. </w:t>
      </w:r>
    </w:p>
    <w:p w14:paraId="61DEB03C" w14:textId="371BDDE4" w:rsidR="00D6573C" w:rsidRDefault="00D6573C" w:rsidP="00B8229D">
      <w:pPr>
        <w:widowControl w:val="0"/>
        <w:autoSpaceDE w:val="0"/>
        <w:autoSpaceDN w:val="0"/>
        <w:adjustRightInd w:val="0"/>
        <w:ind w:firstLine="567"/>
        <w:jc w:val="both"/>
        <w:rPr>
          <w:sz w:val="20"/>
          <w:szCs w:val="20"/>
        </w:rPr>
      </w:pPr>
      <w:r w:rsidRPr="00D6573C">
        <w:rPr>
          <w:sz w:val="20"/>
          <w:szCs w:val="20"/>
        </w:rPr>
        <w:t xml:space="preserve">According to Table 4, 26 respondents with high information support, 14 of them do not smoke. This is due to the fact that the information obtained by respondents from the social environment can be in the form of effects or dangers caused by smoking / vaping behavior. </w:t>
      </w:r>
    </w:p>
    <w:p w14:paraId="52208842" w14:textId="75C7070A" w:rsidR="00D6573C" w:rsidRDefault="00D6573C" w:rsidP="00B8229D">
      <w:pPr>
        <w:widowControl w:val="0"/>
        <w:autoSpaceDE w:val="0"/>
        <w:autoSpaceDN w:val="0"/>
        <w:adjustRightInd w:val="0"/>
        <w:ind w:firstLine="567"/>
        <w:jc w:val="both"/>
        <w:rPr>
          <w:sz w:val="20"/>
          <w:szCs w:val="20"/>
        </w:rPr>
      </w:pPr>
      <w:r w:rsidRPr="00D6573C">
        <w:rPr>
          <w:sz w:val="20"/>
          <w:szCs w:val="20"/>
        </w:rPr>
        <w:t>From the 119 respondents</w:t>
      </w:r>
      <w:r>
        <w:rPr>
          <w:sz w:val="20"/>
          <w:szCs w:val="20"/>
        </w:rPr>
        <w:t xml:space="preserve"> </w:t>
      </w:r>
      <w:r w:rsidRPr="00D6573C">
        <w:rPr>
          <w:sz w:val="20"/>
          <w:szCs w:val="20"/>
        </w:rPr>
        <w:t>with low information support, 84 had non</w:t>
      </w:r>
      <w:r>
        <w:rPr>
          <w:sz w:val="20"/>
          <w:szCs w:val="20"/>
        </w:rPr>
        <w:t>-</w:t>
      </w:r>
      <w:r w:rsidRPr="00D6573C">
        <w:rPr>
          <w:sz w:val="20"/>
          <w:szCs w:val="20"/>
        </w:rPr>
        <w:t>smoking behavior and 35 had smoking</w:t>
      </w:r>
      <w:r>
        <w:rPr>
          <w:sz w:val="20"/>
          <w:szCs w:val="20"/>
        </w:rPr>
        <w:t xml:space="preserve"> </w:t>
      </w:r>
      <w:r w:rsidRPr="00D6573C">
        <w:rPr>
          <w:sz w:val="20"/>
          <w:szCs w:val="20"/>
        </w:rPr>
        <w:t>behavior, including 30 who smoked e</w:t>
      </w:r>
      <w:r>
        <w:rPr>
          <w:sz w:val="20"/>
          <w:szCs w:val="20"/>
        </w:rPr>
        <w:t>-</w:t>
      </w:r>
      <w:r w:rsidRPr="00D6573C">
        <w:rPr>
          <w:sz w:val="20"/>
          <w:szCs w:val="20"/>
        </w:rPr>
        <w:t xml:space="preserve">cigarettes (vape) and 5 who smoked other types of cigarettes. This is because respondents learn about new variants / types / flavors of cigarettes from their social environment, which makes respondents curious and causes them to smoke / vape. In the social environment, respondents obtained the most basic information from their families, particularly their parents. Information obtained from parents can be used to model how adolescents should behave. According to </w:t>
      </w:r>
      <w:proofErr w:type="spellStart"/>
      <w:r w:rsidRPr="00D6573C">
        <w:rPr>
          <w:sz w:val="20"/>
          <w:szCs w:val="20"/>
        </w:rPr>
        <w:t>Tridhonanto</w:t>
      </w:r>
      <w:proofErr w:type="spellEnd"/>
      <w:r w:rsidRPr="00D6573C">
        <w:rPr>
          <w:sz w:val="20"/>
          <w:szCs w:val="20"/>
        </w:rPr>
        <w:t xml:space="preserve"> </w:t>
      </w:r>
      <w:r w:rsidR="00CF28E5">
        <w:rPr>
          <w:sz w:val="20"/>
          <w:szCs w:val="20"/>
        </w:rPr>
        <w:fldChar w:fldCharType="begin" w:fldLock="1"/>
      </w:r>
      <w:r w:rsidR="00CF28E5">
        <w:rPr>
          <w:sz w:val="20"/>
          <w:szCs w:val="20"/>
        </w:rPr>
        <w:instrText>ADDIN CSL_CITATION {"citationItems":[{"id":"ITEM-1","itemData":{"ISBN":"978-602-02-4812-7","author":[{"dropping-particle":"","family":"Tridhonanto","given":"Al.","non-dropping-particle":"","parse-names":false,"suffix":""}],"id":"ITEM-1","issued":{"date-parts":[["2014"]]},"publisher":"PT Elex Media Komputindo","publisher-place":"Jakarta","title":"Mengembangkan Pola Asuh Demokratis","type":"book"},"uris":["http://www.mendeley.com/documents/?uuid=0a9dc270-d01f-4c54-87b3-218138114f68"]}],"mendeley":{"formattedCitation":"(Tridhonanto, 2014)","manualFormatting":"(2014)","plainTextFormattedCitation":"(Tridhonanto, 2014)","previouslyFormattedCitation":"(Tridhonanto, 2014)"},"properties":{"noteIndex":0},"schema":"https://github.com/citation-style-language/schema/raw/master/csl-citation.json"}</w:instrText>
      </w:r>
      <w:r w:rsidR="00CF28E5">
        <w:rPr>
          <w:sz w:val="20"/>
          <w:szCs w:val="20"/>
        </w:rPr>
        <w:fldChar w:fldCharType="separate"/>
      </w:r>
      <w:r w:rsidR="00CF28E5" w:rsidRPr="00CF28E5">
        <w:rPr>
          <w:noProof/>
          <w:sz w:val="20"/>
          <w:szCs w:val="20"/>
        </w:rPr>
        <w:t>(2014)</w:t>
      </w:r>
      <w:r w:rsidR="00CF28E5">
        <w:rPr>
          <w:sz w:val="20"/>
          <w:szCs w:val="20"/>
        </w:rPr>
        <w:fldChar w:fldCharType="end"/>
      </w:r>
      <w:r w:rsidRPr="00D6573C">
        <w:rPr>
          <w:sz w:val="20"/>
          <w:szCs w:val="20"/>
        </w:rPr>
        <w:t>, parental parenting is a whole of parental and child interactions in which parents encourage children by changing their behavior, knowledge, and values to those considered most appropriate for parents. Adolescent behavior is greatly influenced by family parenting styles, and poor parenting styles lead to deviant behavior in their children, such as smoking. The parenting styles are given through information support to their children about the effect and dangers of smoking behavior, in order to prevent adolescents from smoking.</w:t>
      </w:r>
    </w:p>
    <w:p w14:paraId="4E626E9F" w14:textId="77777777" w:rsidR="00D6573C" w:rsidRDefault="00D6573C" w:rsidP="00B8229D">
      <w:pPr>
        <w:widowControl w:val="0"/>
        <w:autoSpaceDE w:val="0"/>
        <w:autoSpaceDN w:val="0"/>
        <w:adjustRightInd w:val="0"/>
        <w:ind w:firstLine="567"/>
        <w:jc w:val="both"/>
        <w:rPr>
          <w:sz w:val="20"/>
          <w:szCs w:val="20"/>
        </w:rPr>
      </w:pPr>
    </w:p>
    <w:p w14:paraId="354672B7" w14:textId="58A63F4E" w:rsidR="00D6573C" w:rsidRPr="00D6573C" w:rsidRDefault="00D6573C" w:rsidP="00D6573C">
      <w:pPr>
        <w:widowControl w:val="0"/>
        <w:autoSpaceDE w:val="0"/>
        <w:autoSpaceDN w:val="0"/>
        <w:adjustRightInd w:val="0"/>
        <w:jc w:val="both"/>
        <w:rPr>
          <w:b/>
          <w:bCs/>
          <w:sz w:val="20"/>
          <w:szCs w:val="20"/>
        </w:rPr>
      </w:pPr>
      <w:r w:rsidRPr="00D6573C">
        <w:rPr>
          <w:b/>
          <w:bCs/>
          <w:sz w:val="20"/>
          <w:szCs w:val="20"/>
        </w:rPr>
        <w:t>The Relationship between Emotional Support and Smoking / Vaping Behavior</w:t>
      </w:r>
    </w:p>
    <w:p w14:paraId="592FDA76" w14:textId="77777777" w:rsidR="00802B74" w:rsidRDefault="00D6573C" w:rsidP="00B8229D">
      <w:pPr>
        <w:widowControl w:val="0"/>
        <w:autoSpaceDE w:val="0"/>
        <w:autoSpaceDN w:val="0"/>
        <w:adjustRightInd w:val="0"/>
        <w:ind w:firstLine="567"/>
        <w:jc w:val="both"/>
        <w:rPr>
          <w:sz w:val="20"/>
          <w:szCs w:val="20"/>
        </w:rPr>
      </w:pPr>
      <w:r w:rsidRPr="00D6573C">
        <w:rPr>
          <w:sz w:val="20"/>
          <w:szCs w:val="20"/>
        </w:rPr>
        <w:t xml:space="preserve">Emotional support refers to the support of the adolescent social environment, which makes it comfortable to engage in smoking/vaping behavior. </w:t>
      </w:r>
    </w:p>
    <w:p w14:paraId="7DD3E4D8" w14:textId="77777777" w:rsidR="00802B74" w:rsidRDefault="00D6573C" w:rsidP="00B8229D">
      <w:pPr>
        <w:widowControl w:val="0"/>
        <w:autoSpaceDE w:val="0"/>
        <w:autoSpaceDN w:val="0"/>
        <w:adjustRightInd w:val="0"/>
        <w:ind w:firstLine="567"/>
        <w:jc w:val="both"/>
        <w:rPr>
          <w:sz w:val="20"/>
          <w:szCs w:val="20"/>
        </w:rPr>
      </w:pPr>
      <w:r w:rsidRPr="00D6573C">
        <w:rPr>
          <w:sz w:val="20"/>
          <w:szCs w:val="20"/>
        </w:rPr>
        <w:t xml:space="preserve">According to Table 4, out of 45 respondents with good emotional support, 5 had non-smoking behavior and 40 had smoking behavior, including 34 who smoked e-cigarettes (vape) and 6 who smoked other varieties. This is because respondents obtained high emotional support as a result of the comfort they feel when they gather with friends who were also smokers. </w:t>
      </w:r>
    </w:p>
    <w:p w14:paraId="6EE33042" w14:textId="5D8E6E94" w:rsidR="00D6573C" w:rsidRDefault="00D6573C" w:rsidP="00B8229D">
      <w:pPr>
        <w:widowControl w:val="0"/>
        <w:autoSpaceDE w:val="0"/>
        <w:autoSpaceDN w:val="0"/>
        <w:adjustRightInd w:val="0"/>
        <w:ind w:firstLine="567"/>
        <w:jc w:val="both"/>
        <w:rPr>
          <w:sz w:val="20"/>
          <w:szCs w:val="20"/>
        </w:rPr>
      </w:pPr>
      <w:r w:rsidRPr="00D6573C">
        <w:rPr>
          <w:sz w:val="20"/>
          <w:szCs w:val="20"/>
        </w:rPr>
        <w:t>In terms of smoking behavior, it concerns the emotions that the individual may experience. Each person who experienc</w:t>
      </w:r>
      <w:r w:rsidR="007B550B">
        <w:rPr>
          <w:sz w:val="20"/>
          <w:szCs w:val="20"/>
        </w:rPr>
        <w:t>ing</w:t>
      </w:r>
      <w:r w:rsidRPr="00D6573C">
        <w:rPr>
          <w:sz w:val="20"/>
          <w:szCs w:val="20"/>
        </w:rPr>
        <w:t xml:space="preserve"> emotional instability can trigger stress. Then there are external supports that suggest individuals to behave smoking. Emotional support makes individuals feel they have something in common with their friends in terms of smoking behavior. Respondents may have thoughts that both they and their friends smoke, so the respondents keep having smoking behavior. In addition, when the</w:t>
      </w:r>
      <w:r w:rsidR="00802B74">
        <w:rPr>
          <w:sz w:val="20"/>
          <w:szCs w:val="20"/>
        </w:rPr>
        <w:t xml:space="preserve"> </w:t>
      </w:r>
      <w:r w:rsidR="00802B74" w:rsidRPr="00802B74">
        <w:rPr>
          <w:sz w:val="20"/>
          <w:szCs w:val="20"/>
        </w:rPr>
        <w:t xml:space="preserve">respondent has an uncomfortable feeling because he does not smoke, his friend provides emotional support so alleviate the uncomfortable feeling. This is in line with research by </w:t>
      </w:r>
      <w:proofErr w:type="spellStart"/>
      <w:r w:rsidR="00802B74" w:rsidRPr="00802B74">
        <w:rPr>
          <w:sz w:val="20"/>
          <w:szCs w:val="20"/>
        </w:rPr>
        <w:t>Sutha</w:t>
      </w:r>
      <w:proofErr w:type="spellEnd"/>
      <w:r w:rsidR="00802B74" w:rsidRPr="00802B74">
        <w:rPr>
          <w:sz w:val="20"/>
          <w:szCs w:val="20"/>
        </w:rPr>
        <w:t xml:space="preserve"> </w:t>
      </w:r>
      <w:r w:rsidR="00CF28E5">
        <w:rPr>
          <w:sz w:val="20"/>
          <w:szCs w:val="20"/>
        </w:rPr>
        <w:fldChar w:fldCharType="begin" w:fldLock="1"/>
      </w:r>
      <w:r w:rsidR="00CF28E5">
        <w:rPr>
          <w:sz w:val="20"/>
          <w:szCs w:val="20"/>
        </w:rPr>
        <w:instrText>ADDIN CSL_CITATION {"citationItems":[{"id":"ITEM-1","itemData":{"abstract":"Perokok usia remaja dengan rentang usia 14-19 tahun, di Indonesia terus meningkat. Banyak faktor yang menyebabkan mereka merokok di usia muda tersebut, salah satu alasan mereka merokok agar diterima dikalangan kelompoknya yaitu lingkungan sosialnya (keluarga, teman sebaya dan guru yang merokok). Permasalahan ini jelas menjadi topik yang sangat memerlukan perhatian mengingat remaja merupakan generasi penerus bangsa yang nantinya juga menjadi penerus untuk pembangunan negara ini. Tujuan : Menganalisis kondisi lingkungan sosial terhadap perilaku merokok remaja di Kecamatan Pangarengan Kabupaten Sampang. Metode Penelitian: Jenis penelitian adalah explanatory research dengan rancangan belah lintang (cross sectional). Populasi dalam penelitian ini adalah semua pelajar remaja yang berada di Kecamatan Pangarengan Kabupaten Sampang Madura yaitu sebanyak 1.610. Teknik pengambilan sampel dilakukan menggunakan Simple Random Sampling, maka diperoleh sampel penelitian sebesar 214. Analisis data menggunakan Chi Square. Hasil : Variabel lingkungan sosial yang mempunyai hubungan yang signifikan terhadap perilaku merokok adalah semua variabel yang ada yaitu lingkungan keluarga, teman sebaya, guru, idola, dan lingkungan budaya, karena mempunyai nilai P yang lebih kecil GDUL . ????","author":[{"dropping-particle":"","family":"Sutha","given":"Diah Wijayanti","non-dropping-particle":"","parse-names":false,"suffix":""}],"container-title":"Jurnal Manajemen Kesehatan STIKES Yayasan RS. Dr. Soetomo","id":"ITEM-1","issue":"1","issued":{"date-parts":[["2016"]]},"page":"43-59","title":"Analisis Lingkungan Sosial terhadap Perilaku Merokok Remaja di Kecamatan Pangarengan Kabupaten Sampang Madura","type":"article-journal","volume":"2"},"uris":["http://www.mendeley.com/documents/?uuid=b8f3d97d-0b17-4908-97dd-090a9490bd7d"]}],"mendeley":{"formattedCitation":"(Sutha, 2016)","manualFormatting":"(2016)","plainTextFormattedCitation":"(Sutha, 2016)","previouslyFormattedCitation":"(Sutha, 2016)"},"properties":{"noteIndex":0},"schema":"https://github.com/citation-style-language/schema/raw/master/csl-citation.json"}</w:instrText>
      </w:r>
      <w:r w:rsidR="00CF28E5">
        <w:rPr>
          <w:sz w:val="20"/>
          <w:szCs w:val="20"/>
        </w:rPr>
        <w:fldChar w:fldCharType="separate"/>
      </w:r>
      <w:r w:rsidR="00CF28E5" w:rsidRPr="00CF28E5">
        <w:rPr>
          <w:noProof/>
          <w:sz w:val="20"/>
          <w:szCs w:val="20"/>
        </w:rPr>
        <w:t>(2016)</w:t>
      </w:r>
      <w:r w:rsidR="00CF28E5">
        <w:rPr>
          <w:sz w:val="20"/>
          <w:szCs w:val="20"/>
        </w:rPr>
        <w:fldChar w:fldCharType="end"/>
      </w:r>
      <w:r w:rsidR="00802B74" w:rsidRPr="00802B74">
        <w:rPr>
          <w:sz w:val="20"/>
          <w:szCs w:val="20"/>
        </w:rPr>
        <w:t>, which states adolescents try to display behavior that becomes a status symbol of maturity. Teenagers attempt to get Emotional freedom is often accompanied by conflict. In the end, teenagers try to find freedom outside. This makes teenagers feel they have emotional freedom from outside their parents so that teenagers actually have more confidence in their friends who are in the same boat as them. One of the behaviors that arise from the sense of emotional freedom of adolescents is smoking behavior which they consider as a symbol of maturity.</w:t>
      </w:r>
    </w:p>
    <w:p w14:paraId="4D95BD1C" w14:textId="77777777" w:rsidR="00F13660" w:rsidRDefault="00F13660" w:rsidP="00B8229D">
      <w:pPr>
        <w:widowControl w:val="0"/>
        <w:autoSpaceDE w:val="0"/>
        <w:autoSpaceDN w:val="0"/>
        <w:adjustRightInd w:val="0"/>
        <w:ind w:firstLine="567"/>
        <w:jc w:val="both"/>
        <w:rPr>
          <w:sz w:val="20"/>
          <w:szCs w:val="20"/>
        </w:rPr>
      </w:pPr>
    </w:p>
    <w:p w14:paraId="2484CD6F" w14:textId="02015021" w:rsidR="00802B74" w:rsidRPr="00802B74" w:rsidRDefault="00802B74" w:rsidP="00802B74">
      <w:pPr>
        <w:widowControl w:val="0"/>
        <w:autoSpaceDE w:val="0"/>
        <w:autoSpaceDN w:val="0"/>
        <w:adjustRightInd w:val="0"/>
        <w:jc w:val="both"/>
        <w:rPr>
          <w:b/>
          <w:bCs/>
          <w:sz w:val="20"/>
          <w:szCs w:val="20"/>
        </w:rPr>
      </w:pPr>
      <w:r w:rsidRPr="00802B74">
        <w:rPr>
          <w:b/>
          <w:bCs/>
          <w:sz w:val="20"/>
          <w:szCs w:val="20"/>
        </w:rPr>
        <w:t>The Relationship between Appraisal Support and Smoking / Vaping Behavior</w:t>
      </w:r>
    </w:p>
    <w:p w14:paraId="1045390F" w14:textId="77777777" w:rsidR="00802B74" w:rsidRDefault="00802B74" w:rsidP="00B8229D">
      <w:pPr>
        <w:widowControl w:val="0"/>
        <w:autoSpaceDE w:val="0"/>
        <w:autoSpaceDN w:val="0"/>
        <w:adjustRightInd w:val="0"/>
        <w:ind w:firstLine="567"/>
        <w:jc w:val="both"/>
        <w:rPr>
          <w:sz w:val="20"/>
          <w:szCs w:val="20"/>
        </w:rPr>
      </w:pPr>
      <w:r w:rsidRPr="00802B74">
        <w:rPr>
          <w:sz w:val="20"/>
          <w:szCs w:val="20"/>
        </w:rPr>
        <w:t xml:space="preserve">Appraisal support refers to the support of the adolescent social environment that encourages, approves, and has its own opinion of smoking/vaping behavior. </w:t>
      </w:r>
    </w:p>
    <w:p w14:paraId="1229878E" w14:textId="77777777" w:rsidR="00802B74" w:rsidRDefault="00802B74" w:rsidP="00B8229D">
      <w:pPr>
        <w:widowControl w:val="0"/>
        <w:autoSpaceDE w:val="0"/>
        <w:autoSpaceDN w:val="0"/>
        <w:adjustRightInd w:val="0"/>
        <w:ind w:firstLine="567"/>
        <w:jc w:val="both"/>
        <w:rPr>
          <w:sz w:val="20"/>
          <w:szCs w:val="20"/>
        </w:rPr>
      </w:pPr>
      <w:r w:rsidRPr="00802B74">
        <w:rPr>
          <w:sz w:val="20"/>
          <w:szCs w:val="20"/>
        </w:rPr>
        <w:t xml:space="preserve">According to Table 4, 38 respondents with high appraisal support, all respondents smoke, including 33 smoking vape respondents and 5 other types of cigarettes. This is due to the fact that they are in a similar social environment, so respondents feel approval from their surroundings and are eager to instill confidence in their </w:t>
      </w:r>
      <w:r w:rsidRPr="00802B74">
        <w:rPr>
          <w:sz w:val="20"/>
          <w:szCs w:val="20"/>
        </w:rPr>
        <w:lastRenderedPageBreak/>
        <w:t xml:space="preserve">smoking / vaping behavior. </w:t>
      </w:r>
    </w:p>
    <w:p w14:paraId="35D35B5A" w14:textId="02729D38" w:rsidR="00B8229D" w:rsidRPr="00F50129" w:rsidRDefault="00802B74" w:rsidP="00802B74">
      <w:pPr>
        <w:widowControl w:val="0"/>
        <w:autoSpaceDE w:val="0"/>
        <w:autoSpaceDN w:val="0"/>
        <w:adjustRightInd w:val="0"/>
        <w:ind w:firstLine="567"/>
        <w:jc w:val="both"/>
        <w:rPr>
          <w:sz w:val="20"/>
          <w:szCs w:val="20"/>
        </w:rPr>
      </w:pPr>
      <w:r w:rsidRPr="00802B74">
        <w:rPr>
          <w:sz w:val="20"/>
          <w:szCs w:val="20"/>
        </w:rPr>
        <w:t xml:space="preserve">High appraisal support is obtained by respondents because they feel more appreciated by the social environment gathered with friends who are also smokers. This study supports Habibi's </w:t>
      </w:r>
      <w:r w:rsidR="00CF28E5">
        <w:rPr>
          <w:sz w:val="20"/>
          <w:szCs w:val="20"/>
        </w:rPr>
        <w:fldChar w:fldCharType="begin" w:fldLock="1"/>
      </w:r>
      <w:r w:rsidR="004D5853">
        <w:rPr>
          <w:sz w:val="20"/>
          <w:szCs w:val="20"/>
        </w:rPr>
        <w:instrText>ADDIN CSL_CITATION {"citationItems":[{"id":"ITEM-1","itemData":{"abstract":"This research study aims to determine the relationship between smoking behavior with self esteem in late adolescent. The research to do at a coffee shop kec. Gayungan Surabaya with the respondents as many as 80 people. The research method used is correlational quantitative method with sampling technique purposive sampling in adolescents who smoke in the coffee shop. The data analysis technique used is product moment correlation analysis. The results showed that there was a positive and significant relationship between smoking behavior and self-esteem variable. Where the significance level is 0,000 &lt;0.005. This means that the hypothesis that there is a relationship between smoking behavior with self-esteem in late adolescents received. And has a value of correlation coefficient between two variables of 0.480 which the correlation value is medium","author":[{"dropping-particle":"","family":"Habibi","given":"Muhammad Hamdan","non-dropping-particle":"","parse-names":false,"suffix":""}],"edition":"SKRIPSI","id":"ITEM-1","issued":{"date-parts":[["2017"]]},"number-of-pages":"1-97","title":"Hubungan antara perilaku merokok dengan harga diri pada remaja akhir","type":"book"},"uris":["http://www.mendeley.com/documents/?uuid=5af20cc8-21ae-4522-b3b3-cafd460fc634"]}],"mendeley":{"formattedCitation":"(Habibi, 2017)","manualFormatting":"(2017)","plainTextFormattedCitation":"(Habibi, 2017)","previouslyFormattedCitation":"(Habibi, 2017)"},"properties":{"noteIndex":0},"schema":"https://github.com/citation-style-language/schema/raw/master/csl-citation.json"}</w:instrText>
      </w:r>
      <w:r w:rsidR="00CF28E5">
        <w:rPr>
          <w:sz w:val="20"/>
          <w:szCs w:val="20"/>
        </w:rPr>
        <w:fldChar w:fldCharType="separate"/>
      </w:r>
      <w:r w:rsidR="00CF28E5" w:rsidRPr="00CF28E5">
        <w:rPr>
          <w:noProof/>
          <w:sz w:val="20"/>
          <w:szCs w:val="20"/>
        </w:rPr>
        <w:t>(2017)</w:t>
      </w:r>
      <w:r w:rsidR="00CF28E5">
        <w:rPr>
          <w:sz w:val="20"/>
          <w:szCs w:val="20"/>
        </w:rPr>
        <w:fldChar w:fldCharType="end"/>
      </w:r>
      <w:r w:rsidRPr="00802B74">
        <w:rPr>
          <w:sz w:val="20"/>
          <w:szCs w:val="20"/>
        </w:rPr>
        <w:t xml:space="preserve"> finding that there is a significant relationship between adolescent self</w:t>
      </w:r>
      <w:r>
        <w:rPr>
          <w:sz w:val="20"/>
          <w:szCs w:val="20"/>
        </w:rPr>
        <w:t>-</w:t>
      </w:r>
      <w:r w:rsidRPr="00802B74">
        <w:rPr>
          <w:sz w:val="20"/>
          <w:szCs w:val="20"/>
        </w:rPr>
        <w:t>esteem and smoking behavior. Appraisal are obtained through their social environment, and a person's self-esteem will rise if his social environment is positive. In smokers, it is the same as smoking</w:t>
      </w:r>
      <w:r w:rsidR="00B8229D" w:rsidRPr="00F50129">
        <w:rPr>
          <w:sz w:val="20"/>
          <w:szCs w:val="20"/>
        </w:rPr>
        <w:t>.</w:t>
      </w:r>
    </w:p>
    <w:p w14:paraId="5333A015" w14:textId="77777777" w:rsidR="0067286B" w:rsidRPr="00F50129" w:rsidRDefault="0067286B" w:rsidP="00DD19D4">
      <w:pPr>
        <w:widowControl w:val="0"/>
        <w:autoSpaceDE w:val="0"/>
        <w:autoSpaceDN w:val="0"/>
        <w:adjustRightInd w:val="0"/>
        <w:jc w:val="both"/>
        <w:rPr>
          <w:sz w:val="20"/>
          <w:szCs w:val="20"/>
        </w:rPr>
      </w:pPr>
    </w:p>
    <w:p w14:paraId="2073F023" w14:textId="1254A2E5" w:rsidR="00DD19D4" w:rsidRPr="00F50129" w:rsidRDefault="00B8229D" w:rsidP="00DD19D4">
      <w:pPr>
        <w:widowControl w:val="0"/>
        <w:autoSpaceDE w:val="0"/>
        <w:autoSpaceDN w:val="0"/>
        <w:adjustRightInd w:val="0"/>
        <w:jc w:val="both"/>
        <w:outlineLvl w:val="0"/>
        <w:rPr>
          <w:b/>
          <w:sz w:val="20"/>
          <w:szCs w:val="20"/>
        </w:rPr>
      </w:pPr>
      <w:r w:rsidRPr="00F50129">
        <w:rPr>
          <w:b/>
          <w:sz w:val="20"/>
          <w:szCs w:val="20"/>
        </w:rPr>
        <w:t>CONCLUSION</w:t>
      </w:r>
    </w:p>
    <w:p w14:paraId="0C03BA15" w14:textId="6BE0AEBC" w:rsidR="00D23D2A" w:rsidRDefault="007F2196" w:rsidP="00802B74">
      <w:pPr>
        <w:pStyle w:val="NormalWeb"/>
        <w:tabs>
          <w:tab w:val="left" w:pos="567"/>
        </w:tabs>
        <w:spacing w:before="86"/>
        <w:textAlignment w:val="baseline"/>
        <w:rPr>
          <w:sz w:val="20"/>
          <w:szCs w:val="20"/>
        </w:rPr>
      </w:pPr>
      <w:r w:rsidRPr="00F50129">
        <w:rPr>
          <w:sz w:val="20"/>
          <w:szCs w:val="20"/>
        </w:rPr>
        <w:tab/>
      </w:r>
      <w:r w:rsidR="00802B74" w:rsidRPr="00802B74">
        <w:rPr>
          <w:sz w:val="20"/>
          <w:szCs w:val="20"/>
        </w:rPr>
        <w:t xml:space="preserve">The study of 145 high school age adolescents in Surabaya concluded that there is a relationship between social support and smoking / vaping behavior </w:t>
      </w:r>
      <w:r w:rsidR="00DE5971">
        <w:rPr>
          <w:sz w:val="20"/>
          <w:szCs w:val="20"/>
        </w:rPr>
        <w:t>of</w:t>
      </w:r>
      <w:r w:rsidR="00802B74" w:rsidRPr="00802B74">
        <w:rPr>
          <w:sz w:val="20"/>
          <w:szCs w:val="20"/>
        </w:rPr>
        <w:t xml:space="preserve"> high school age adolescents in Surabaya. It is recommended that adolescents are able to find information to add insight / knowledge about the effect and dangers of smoking / vaping. While it is expected that parents can provide knowledge of the effect of smoking behavior and how to behave when offered cigarettes by others in the social environment since parents can be role models for adolescents' behavior. Furthermore, adolescents should be more selective with whom they hang out with, and there is a need for guidance from parents and teachers regarding students’ association in order to avoid irregularities, particularly smoking behavior. </w:t>
      </w:r>
    </w:p>
    <w:p w14:paraId="259C4A39" w14:textId="791EE29A" w:rsidR="00CF28E5" w:rsidRDefault="00CF28E5" w:rsidP="00315F09">
      <w:pPr>
        <w:pStyle w:val="Heading1"/>
      </w:pPr>
      <w:r w:rsidRPr="00CF28E5">
        <w:t>ACKNOWLEDGEMENT</w:t>
      </w:r>
    </w:p>
    <w:p w14:paraId="40C32B69" w14:textId="01AAC536" w:rsidR="00DD19D4" w:rsidRPr="00315F09" w:rsidRDefault="00CF28E5" w:rsidP="00315F09">
      <w:pPr>
        <w:pStyle w:val="NormalWeb"/>
        <w:tabs>
          <w:tab w:val="left" w:pos="567"/>
        </w:tabs>
        <w:spacing w:before="86"/>
        <w:textAlignment w:val="baseline"/>
        <w:rPr>
          <w:sz w:val="20"/>
          <w:szCs w:val="20"/>
        </w:rPr>
      </w:pPr>
      <w:r w:rsidRPr="00CF28E5">
        <w:rPr>
          <w:sz w:val="20"/>
          <w:szCs w:val="20"/>
        </w:rPr>
        <w:tab/>
        <w:t xml:space="preserve">The author would like to thank the supervisors, examiners, and all friends and </w:t>
      </w:r>
      <w:r w:rsidR="007B550B">
        <w:rPr>
          <w:sz w:val="20"/>
          <w:szCs w:val="20"/>
        </w:rPr>
        <w:t>other</w:t>
      </w:r>
      <w:r w:rsidRPr="00CF28E5">
        <w:rPr>
          <w:sz w:val="20"/>
          <w:szCs w:val="20"/>
        </w:rPr>
        <w:t>s who have supported and helped this research.</w:t>
      </w:r>
    </w:p>
    <w:p w14:paraId="17C645EC" w14:textId="6F48A027" w:rsidR="004D5853" w:rsidRDefault="00315F09" w:rsidP="00813EB9">
      <w:pPr>
        <w:autoSpaceDE w:val="0"/>
        <w:autoSpaceDN w:val="0"/>
        <w:adjustRightInd w:val="0"/>
        <w:ind w:left="567" w:hanging="567"/>
        <w:jc w:val="both"/>
        <w:outlineLvl w:val="0"/>
        <w:rPr>
          <w:b/>
          <w:bCs/>
          <w:sz w:val="20"/>
          <w:szCs w:val="20"/>
          <w:lang w:eastAsia="zh-CN"/>
        </w:rPr>
      </w:pPr>
      <w:r w:rsidRPr="00315F09">
        <w:rPr>
          <w:b/>
          <w:bCs/>
          <w:sz w:val="20"/>
          <w:szCs w:val="20"/>
          <w:lang w:eastAsia="zh-CN"/>
        </w:rPr>
        <w:t>REFERENCE</w:t>
      </w:r>
    </w:p>
    <w:p w14:paraId="4C65C49A" w14:textId="77777777" w:rsidR="00813EB9" w:rsidRPr="00315F09" w:rsidRDefault="00813EB9" w:rsidP="00813EB9">
      <w:pPr>
        <w:autoSpaceDE w:val="0"/>
        <w:autoSpaceDN w:val="0"/>
        <w:adjustRightInd w:val="0"/>
        <w:ind w:left="567" w:hanging="567"/>
        <w:jc w:val="both"/>
        <w:outlineLvl w:val="0"/>
        <w:rPr>
          <w:b/>
          <w:bCs/>
          <w:sz w:val="20"/>
          <w:szCs w:val="20"/>
          <w:lang w:eastAsia="zh-CN"/>
        </w:rPr>
      </w:pPr>
    </w:p>
    <w:p w14:paraId="2A9851C5" w14:textId="4E5912D6" w:rsidR="003E59B7" w:rsidRPr="007974F5" w:rsidRDefault="004D5853" w:rsidP="00813EB9">
      <w:pPr>
        <w:widowControl w:val="0"/>
        <w:autoSpaceDE w:val="0"/>
        <w:autoSpaceDN w:val="0"/>
        <w:adjustRightInd w:val="0"/>
        <w:ind w:left="567" w:hanging="567"/>
        <w:rPr>
          <w:noProof/>
          <w:sz w:val="20"/>
          <w:szCs w:val="20"/>
        </w:rPr>
      </w:pPr>
      <w:r w:rsidRPr="007974F5">
        <w:rPr>
          <w:sz w:val="20"/>
          <w:szCs w:val="20"/>
          <w:lang w:eastAsia="zh-CN"/>
        </w:rPr>
        <w:fldChar w:fldCharType="begin" w:fldLock="1"/>
      </w:r>
      <w:r w:rsidRPr="007974F5">
        <w:rPr>
          <w:sz w:val="20"/>
          <w:szCs w:val="20"/>
          <w:lang w:eastAsia="zh-CN"/>
        </w:rPr>
        <w:instrText xml:space="preserve">ADDIN Mendeley Bibliography CSL_BIBLIOGRAPHY </w:instrText>
      </w:r>
      <w:r w:rsidRPr="007974F5">
        <w:rPr>
          <w:sz w:val="20"/>
          <w:szCs w:val="20"/>
          <w:lang w:eastAsia="zh-CN"/>
        </w:rPr>
        <w:fldChar w:fldCharType="separate"/>
      </w:r>
      <w:r w:rsidR="003E59B7" w:rsidRPr="007974F5">
        <w:rPr>
          <w:noProof/>
          <w:sz w:val="20"/>
          <w:szCs w:val="20"/>
        </w:rPr>
        <w:t xml:space="preserve">Artanti, K. D. </w:t>
      </w:r>
      <w:r w:rsidR="003E59B7" w:rsidRPr="007974F5">
        <w:rPr>
          <w:i/>
          <w:iCs/>
          <w:noProof/>
          <w:sz w:val="20"/>
          <w:szCs w:val="20"/>
        </w:rPr>
        <w:t>et al.</w:t>
      </w:r>
      <w:r w:rsidR="003E59B7" w:rsidRPr="007974F5">
        <w:rPr>
          <w:noProof/>
          <w:sz w:val="20"/>
          <w:szCs w:val="20"/>
        </w:rPr>
        <w:t xml:space="preserve"> (2017) ‘4th Indonesian Conference on Tobacco or Health 2017’, in </w:t>
      </w:r>
      <w:r w:rsidR="003E59B7" w:rsidRPr="007974F5">
        <w:rPr>
          <w:i/>
          <w:iCs/>
          <w:noProof/>
          <w:sz w:val="20"/>
          <w:szCs w:val="20"/>
        </w:rPr>
        <w:t>Deskripsi Perilaku Merokok E-Cigarette dan Konvensional Pada Anak Sekolah di Kota Surabaya</w:t>
      </w:r>
      <w:r w:rsidR="003E59B7" w:rsidRPr="007974F5">
        <w:rPr>
          <w:noProof/>
          <w:sz w:val="20"/>
          <w:szCs w:val="20"/>
        </w:rPr>
        <w:t>. Jakarta: IAKMI, pp. 20–26. Available at: http://ictoh-tcscindonesia.com/wp-content/uploads/2018/01/Proceeding-Book-4th-ICTOH.pdf.</w:t>
      </w:r>
    </w:p>
    <w:p w14:paraId="3085B601"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Bhatnagar, A. </w:t>
      </w:r>
      <w:r w:rsidRPr="007974F5">
        <w:rPr>
          <w:i/>
          <w:iCs/>
          <w:noProof/>
          <w:sz w:val="20"/>
          <w:szCs w:val="20"/>
        </w:rPr>
        <w:t>et al.</w:t>
      </w:r>
      <w:r w:rsidRPr="007974F5">
        <w:rPr>
          <w:noProof/>
          <w:sz w:val="20"/>
          <w:szCs w:val="20"/>
        </w:rPr>
        <w:t xml:space="preserve"> (2014) ‘Electronic cigarettes: A policy statement from the American Heart Association’, </w:t>
      </w:r>
      <w:r w:rsidRPr="007974F5">
        <w:rPr>
          <w:i/>
          <w:iCs/>
          <w:noProof/>
          <w:sz w:val="20"/>
          <w:szCs w:val="20"/>
        </w:rPr>
        <w:t>Circulation</w:t>
      </w:r>
      <w:r w:rsidRPr="007974F5">
        <w:rPr>
          <w:noProof/>
          <w:sz w:val="20"/>
          <w:szCs w:val="20"/>
        </w:rPr>
        <w:t>, 130(16), pp. 1418–1436. doi: 10.1161/CIR.0000000000000107.</w:t>
      </w:r>
      <w:bookmarkStart w:id="0" w:name="_GoBack"/>
      <w:bookmarkEnd w:id="0"/>
    </w:p>
    <w:p w14:paraId="14A40A20"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BPOM (2015) ‘Bahaya rokok elektronik’, </w:t>
      </w:r>
      <w:r w:rsidRPr="007974F5">
        <w:rPr>
          <w:i/>
          <w:iCs/>
          <w:noProof/>
          <w:sz w:val="20"/>
          <w:szCs w:val="20"/>
        </w:rPr>
        <w:t>InfoPOM</w:t>
      </w:r>
      <w:r w:rsidRPr="007974F5">
        <w:rPr>
          <w:noProof/>
          <w:sz w:val="20"/>
          <w:szCs w:val="20"/>
        </w:rPr>
        <w:t>, 16(5), pp. 1–12. Available at: http://perpustakaan.pom.go.id/slims/repository/0515.pdf.</w:t>
      </w:r>
    </w:p>
    <w:p w14:paraId="74252538"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Departemen Kesehatan Republik Indonesia (2013) </w:t>
      </w:r>
      <w:r w:rsidRPr="007974F5">
        <w:rPr>
          <w:i/>
          <w:iCs/>
          <w:noProof/>
          <w:sz w:val="20"/>
          <w:szCs w:val="20"/>
        </w:rPr>
        <w:t>Riset Kesehatan Dasar (RISKESDAS)</w:t>
      </w:r>
      <w:r w:rsidRPr="007974F5">
        <w:rPr>
          <w:noProof/>
          <w:sz w:val="20"/>
          <w:szCs w:val="20"/>
        </w:rPr>
        <w:t>. Jakarta: Badan Penelitian dan Pengembangan Kesehatan RI. Available at: http://www.litbang.depkes.go.id/sites/download/rkd2013/Laporan_Riskesdas2013.PDF.</w:t>
      </w:r>
    </w:p>
    <w:p w14:paraId="5011CD01"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Departemen Kesehatan Republik Indonesia (2018) </w:t>
      </w:r>
      <w:r w:rsidRPr="007974F5">
        <w:rPr>
          <w:i/>
          <w:iCs/>
          <w:noProof/>
          <w:sz w:val="20"/>
          <w:szCs w:val="20"/>
        </w:rPr>
        <w:t>Riset Kesehatan Dasar (RISKESDAS)</w:t>
      </w:r>
      <w:r w:rsidRPr="007974F5">
        <w:rPr>
          <w:noProof/>
          <w:sz w:val="20"/>
          <w:szCs w:val="20"/>
        </w:rPr>
        <w:t>. Jakarta. Available at: http://labdata.litbang.kemkes.go.id/images/download/laporan/RKD/2018/Laporan_Nasional_RKD2018_FINAL.pdf.</w:t>
      </w:r>
    </w:p>
    <w:p w14:paraId="55F27C59"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European Lung Foundation (2020) ‘E-cigarettes, heat-not-burn and smokeless tobacco products’, 16(1), p. 161ELF. doi: 10.1183/20734735.ELF161.</w:t>
      </w:r>
    </w:p>
    <w:p w14:paraId="52994C21"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Goniewicz, M. L. </w:t>
      </w:r>
      <w:r w:rsidRPr="007974F5">
        <w:rPr>
          <w:i/>
          <w:iCs/>
          <w:noProof/>
          <w:sz w:val="20"/>
          <w:szCs w:val="20"/>
        </w:rPr>
        <w:t>et al.</w:t>
      </w:r>
      <w:r w:rsidRPr="007974F5">
        <w:rPr>
          <w:noProof/>
          <w:sz w:val="20"/>
          <w:szCs w:val="20"/>
        </w:rPr>
        <w:t xml:space="preserve"> (2014) ‘Levels of selected carcinogens and toxicants in vapour from electronic cigarettes’, </w:t>
      </w:r>
      <w:r w:rsidRPr="007974F5">
        <w:rPr>
          <w:i/>
          <w:iCs/>
          <w:noProof/>
          <w:sz w:val="20"/>
          <w:szCs w:val="20"/>
        </w:rPr>
        <w:t>Tobacco Control</w:t>
      </w:r>
      <w:r w:rsidRPr="007974F5">
        <w:rPr>
          <w:noProof/>
          <w:sz w:val="20"/>
          <w:szCs w:val="20"/>
        </w:rPr>
        <w:t>, 23(2), pp. 133–139. doi: 10.1136/tobaccocontrol-2012-050859.</w:t>
      </w:r>
    </w:p>
    <w:p w14:paraId="5E0A7A1C"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Habibi, M. H. (2017) </w:t>
      </w:r>
      <w:r w:rsidRPr="007974F5">
        <w:rPr>
          <w:i/>
          <w:iCs/>
          <w:noProof/>
          <w:sz w:val="20"/>
          <w:szCs w:val="20"/>
        </w:rPr>
        <w:t>Hubungan antara perilaku merokok dengan harga diri pada remaja akhir</w:t>
      </w:r>
      <w:r w:rsidRPr="007974F5">
        <w:rPr>
          <w:noProof/>
          <w:sz w:val="20"/>
          <w:szCs w:val="20"/>
        </w:rPr>
        <w:t>. SKRIPSI. Available at: http://digilib.uinsby.ac.id/22325/7/Muhammad Hamdan Habibi_B77213087.pdf.</w:t>
      </w:r>
    </w:p>
    <w:p w14:paraId="52FB6222"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Hasna, F., Cahyo, K. and Widagdo, L. (2017) ‘Faktor-Faktor Yang Berhubungan Dengan Penggunaan Rokok Elektrik Pada Perokok Pemuladi Sma Kota Bekasi’, </w:t>
      </w:r>
      <w:r w:rsidRPr="007974F5">
        <w:rPr>
          <w:i/>
          <w:iCs/>
          <w:noProof/>
          <w:sz w:val="20"/>
          <w:szCs w:val="20"/>
        </w:rPr>
        <w:t>Jurnal Kesehatan Masyarakat Universitas Diponegoro</w:t>
      </w:r>
      <w:r w:rsidRPr="007974F5">
        <w:rPr>
          <w:noProof/>
          <w:sz w:val="20"/>
          <w:szCs w:val="20"/>
        </w:rPr>
        <w:t>, 5(3), pp. 548–557. Available at: https://ejournal3.undip.ac.id/index.php/jkm/article/view/17287.</w:t>
      </w:r>
    </w:p>
    <w:p w14:paraId="10F083A7"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Kemenkes RI (2015) ‘Perilaku merokok masyarakat Indonesia’, </w:t>
      </w:r>
      <w:r w:rsidRPr="007974F5">
        <w:rPr>
          <w:i/>
          <w:iCs/>
          <w:noProof/>
          <w:sz w:val="20"/>
          <w:szCs w:val="20"/>
        </w:rPr>
        <w:t>INFODATIN</w:t>
      </w:r>
      <w:r w:rsidRPr="007974F5">
        <w:rPr>
          <w:noProof/>
          <w:sz w:val="20"/>
          <w:szCs w:val="20"/>
        </w:rPr>
        <w:t>. Available at: https://www.pusdatin.kemkes.go.id/resources/download/pusdatin/infodatin/infodatin-hari-tanpa-tembakau-sedunia.pdf.</w:t>
      </w:r>
    </w:p>
    <w:p w14:paraId="75F75436"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Marcham, C. L. and Springston, J. P. (2019) ‘Electronic cigarettes in the indoor environment’, </w:t>
      </w:r>
      <w:r w:rsidRPr="007974F5">
        <w:rPr>
          <w:i/>
          <w:iCs/>
          <w:noProof/>
          <w:sz w:val="20"/>
          <w:szCs w:val="20"/>
        </w:rPr>
        <w:t>Reviews on Environmental Health</w:t>
      </w:r>
      <w:r w:rsidRPr="007974F5">
        <w:rPr>
          <w:noProof/>
          <w:sz w:val="20"/>
          <w:szCs w:val="20"/>
        </w:rPr>
        <w:t>, 34(2), pp. 105–124. doi: 10.1515/reveh-2019-0012.</w:t>
      </w:r>
    </w:p>
    <w:p w14:paraId="2C66A4D0"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Meiyetriani, E. (2012) </w:t>
      </w:r>
      <w:r w:rsidRPr="007974F5">
        <w:rPr>
          <w:i/>
          <w:iCs/>
          <w:noProof/>
          <w:sz w:val="20"/>
          <w:szCs w:val="20"/>
        </w:rPr>
        <w:t>Perilaku Merokok, Tahapan Merokok &amp; Penyakit Akibat Perilaku Merokok: Suatu Tinjauan Teoritis</w:t>
      </w:r>
      <w:r w:rsidRPr="007974F5">
        <w:rPr>
          <w:noProof/>
          <w:sz w:val="20"/>
          <w:szCs w:val="20"/>
        </w:rPr>
        <w:t>. Edited by T. Hasbullah. Jakarta: FKM UI. Available at: http://tcsc-indonesia.org/wp-content/uploads/2012/11/buku-Rokok-Mengapa-Haram-.pdf.</w:t>
      </w:r>
    </w:p>
    <w:p w14:paraId="78CD8983"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Meo, S. A. </w:t>
      </w:r>
      <w:r w:rsidRPr="007974F5">
        <w:rPr>
          <w:i/>
          <w:iCs/>
          <w:noProof/>
          <w:sz w:val="20"/>
          <w:szCs w:val="20"/>
        </w:rPr>
        <w:t>et al.</w:t>
      </w:r>
      <w:r w:rsidRPr="007974F5">
        <w:rPr>
          <w:noProof/>
          <w:sz w:val="20"/>
          <w:szCs w:val="20"/>
        </w:rPr>
        <w:t xml:space="preserve"> (2018) ‘Electronic Cigarettes: Impact on Lung Function and Fractional Exhaled Nitric Oxide Among Healthy Adults’, </w:t>
      </w:r>
      <w:r w:rsidRPr="007974F5">
        <w:rPr>
          <w:i/>
          <w:iCs/>
          <w:noProof/>
          <w:sz w:val="20"/>
          <w:szCs w:val="20"/>
        </w:rPr>
        <w:t>American Journal of Men’s Health</w:t>
      </w:r>
      <w:r w:rsidRPr="007974F5">
        <w:rPr>
          <w:noProof/>
          <w:sz w:val="20"/>
          <w:szCs w:val="20"/>
        </w:rPr>
        <w:t>, 13(1), pp. 1–6. doi: 10.1177/1557988318806073.</w:t>
      </w:r>
    </w:p>
    <w:p w14:paraId="00217183"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lastRenderedPageBreak/>
        <w:t xml:space="preserve">Notoatmodjo, S. (2010) </w:t>
      </w:r>
      <w:r w:rsidRPr="007974F5">
        <w:rPr>
          <w:i/>
          <w:iCs/>
          <w:noProof/>
          <w:sz w:val="20"/>
          <w:szCs w:val="20"/>
        </w:rPr>
        <w:t>Ilmu Perilaku Kesehatan</w:t>
      </w:r>
      <w:r w:rsidRPr="007974F5">
        <w:rPr>
          <w:noProof/>
          <w:sz w:val="20"/>
          <w:szCs w:val="20"/>
        </w:rPr>
        <w:t>. Jakarta: PT Rineka Cipta.</w:t>
      </w:r>
    </w:p>
    <w:p w14:paraId="1E0C5914"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Palazzolo, D. L. (2013) ‘Electronic Cigarettes and Vaping: A New Challenge in Clinical Medicine and Public Health. A Literature Review’, </w:t>
      </w:r>
      <w:r w:rsidRPr="007974F5">
        <w:rPr>
          <w:i/>
          <w:iCs/>
          <w:noProof/>
          <w:sz w:val="20"/>
          <w:szCs w:val="20"/>
        </w:rPr>
        <w:t>Frontiers in Public Health</w:t>
      </w:r>
      <w:r w:rsidRPr="007974F5">
        <w:rPr>
          <w:noProof/>
          <w:sz w:val="20"/>
          <w:szCs w:val="20"/>
        </w:rPr>
        <w:t>, 1. doi: 10.3389/fpubh.2013.00056.</w:t>
      </w:r>
    </w:p>
    <w:p w14:paraId="5AC2075E"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Sarafino, E. P. (2014) </w:t>
      </w:r>
      <w:r w:rsidRPr="007974F5">
        <w:rPr>
          <w:i/>
          <w:iCs/>
          <w:noProof/>
          <w:sz w:val="20"/>
          <w:szCs w:val="20"/>
        </w:rPr>
        <w:t>Health Psychology : Biopsychososial Interactions 8th Edition.</w:t>
      </w:r>
      <w:r w:rsidRPr="007974F5">
        <w:rPr>
          <w:noProof/>
          <w:sz w:val="20"/>
          <w:szCs w:val="20"/>
        </w:rPr>
        <w:t xml:space="preserve"> New Jersey: John Wiley &amp; Sons Inc.</w:t>
      </w:r>
    </w:p>
    <w:p w14:paraId="60A184BA"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Scott, A. </w:t>
      </w:r>
      <w:r w:rsidRPr="007974F5">
        <w:rPr>
          <w:i/>
          <w:iCs/>
          <w:noProof/>
          <w:sz w:val="20"/>
          <w:szCs w:val="20"/>
        </w:rPr>
        <w:t>et al.</w:t>
      </w:r>
      <w:r w:rsidRPr="007974F5">
        <w:rPr>
          <w:noProof/>
          <w:sz w:val="20"/>
          <w:szCs w:val="20"/>
        </w:rPr>
        <w:t xml:space="preserve"> (2018) ‘Pro-inflammatory effects of e-cigarette vapour condensate on human alveolar macrophages’, </w:t>
      </w:r>
      <w:r w:rsidRPr="007974F5">
        <w:rPr>
          <w:i/>
          <w:iCs/>
          <w:noProof/>
          <w:sz w:val="20"/>
          <w:szCs w:val="20"/>
        </w:rPr>
        <w:t>Thorax</w:t>
      </w:r>
      <w:r w:rsidRPr="007974F5">
        <w:rPr>
          <w:noProof/>
          <w:sz w:val="20"/>
          <w:szCs w:val="20"/>
        </w:rPr>
        <w:t>, 73(12), pp. 1161–1169. doi: 10.1136/thoraxjnl-2018-211663.</w:t>
      </w:r>
    </w:p>
    <w:p w14:paraId="2F6DBCC5"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Singh, T. </w:t>
      </w:r>
      <w:r w:rsidRPr="007974F5">
        <w:rPr>
          <w:i/>
          <w:iCs/>
          <w:noProof/>
          <w:sz w:val="20"/>
          <w:szCs w:val="20"/>
        </w:rPr>
        <w:t>et al.</w:t>
      </w:r>
      <w:r w:rsidRPr="007974F5">
        <w:rPr>
          <w:noProof/>
          <w:sz w:val="20"/>
          <w:szCs w:val="20"/>
        </w:rPr>
        <w:t xml:space="preserve"> (2016) ‘Tobacco Use Among Middle and High School Students — United States, 2011–2015’, </w:t>
      </w:r>
      <w:r w:rsidRPr="007974F5">
        <w:rPr>
          <w:i/>
          <w:iCs/>
          <w:noProof/>
          <w:sz w:val="20"/>
          <w:szCs w:val="20"/>
        </w:rPr>
        <w:t>MMWR. Morbidity and Mortality Weekly Report</w:t>
      </w:r>
      <w:r w:rsidRPr="007974F5">
        <w:rPr>
          <w:noProof/>
          <w:sz w:val="20"/>
          <w:szCs w:val="20"/>
        </w:rPr>
        <w:t>, 65(14), pp. 361–367. doi: 10.15585/mmwr.mm6514a1.</w:t>
      </w:r>
    </w:p>
    <w:p w14:paraId="1FEFAC4F"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Sodik, M. A. (2018) </w:t>
      </w:r>
      <w:r w:rsidRPr="007974F5">
        <w:rPr>
          <w:i/>
          <w:iCs/>
          <w:noProof/>
          <w:sz w:val="20"/>
          <w:szCs w:val="20"/>
        </w:rPr>
        <w:t>Merokok dan Bahayanya</w:t>
      </w:r>
      <w:r w:rsidRPr="007974F5">
        <w:rPr>
          <w:noProof/>
          <w:sz w:val="20"/>
          <w:szCs w:val="20"/>
        </w:rPr>
        <w:t>. Pekalongan: PT. NASYA EXPANDING MANAGEMENT. doi: 10.31219/osf.io/wpek5.</w:t>
      </w:r>
    </w:p>
    <w:p w14:paraId="48B204E7"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Sutha, D. W. (2016) ‘Analisis Lingkungan Sosial terhadap Perilaku Merokok Remaja di Kecamatan Pangarengan Kabupaten Sampang Madura’, </w:t>
      </w:r>
      <w:r w:rsidRPr="007974F5">
        <w:rPr>
          <w:i/>
          <w:iCs/>
          <w:noProof/>
          <w:sz w:val="20"/>
          <w:szCs w:val="20"/>
        </w:rPr>
        <w:t>Jurnal Manajemen Kesehatan STIKES Yayasan RS. Dr. Soetomo</w:t>
      </w:r>
      <w:r w:rsidRPr="007974F5">
        <w:rPr>
          <w:noProof/>
          <w:sz w:val="20"/>
          <w:szCs w:val="20"/>
        </w:rPr>
        <w:t>, 2(1), pp. 43–59. Available at: https://media.neliti.com/media/publications/258436-analisis-lingkungan-sosial-terhadap-peri-8ae73fac.pdf.</w:t>
      </w:r>
    </w:p>
    <w:p w14:paraId="7072E037"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Tridhonanto, A. (2014) </w:t>
      </w:r>
      <w:r w:rsidRPr="007974F5">
        <w:rPr>
          <w:i/>
          <w:iCs/>
          <w:noProof/>
          <w:sz w:val="20"/>
          <w:szCs w:val="20"/>
        </w:rPr>
        <w:t>Mengembangkan Pola Asuh Demokratis</w:t>
      </w:r>
      <w:r w:rsidRPr="007974F5">
        <w:rPr>
          <w:noProof/>
          <w:sz w:val="20"/>
          <w:szCs w:val="20"/>
        </w:rPr>
        <w:t>. Jakarta: PT Elex Media Komputindo.</w:t>
      </w:r>
    </w:p>
    <w:p w14:paraId="02109712"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Tristanti, I. (2016) ‘Remaja dan Perilaku Merokok’, </w:t>
      </w:r>
      <w:r w:rsidRPr="007974F5">
        <w:rPr>
          <w:i/>
          <w:iCs/>
          <w:noProof/>
          <w:sz w:val="20"/>
          <w:szCs w:val="20"/>
        </w:rPr>
        <w:t>The 3rd University Research Colloquium</w:t>
      </w:r>
      <w:r w:rsidRPr="007974F5">
        <w:rPr>
          <w:noProof/>
          <w:sz w:val="20"/>
          <w:szCs w:val="20"/>
        </w:rPr>
        <w:t>, pp. 328–342. Available at: https://publikasiilmiah.ums.ac.id/bitstream/handle/11617/6772/35. Ika Tristanti.pdf.</w:t>
      </w:r>
    </w:p>
    <w:p w14:paraId="51802F08"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Trtchounian, A., Williams, M. and Talbot, P. (2010) ‘Conventional and electronic cigarettes (e-cigarettes) have different smoking characteristics’, </w:t>
      </w:r>
      <w:r w:rsidRPr="007974F5">
        <w:rPr>
          <w:i/>
          <w:iCs/>
          <w:noProof/>
          <w:sz w:val="20"/>
          <w:szCs w:val="20"/>
        </w:rPr>
        <w:t>Nicotine &amp; Tobacco Research</w:t>
      </w:r>
      <w:r w:rsidRPr="007974F5">
        <w:rPr>
          <w:noProof/>
          <w:sz w:val="20"/>
          <w:szCs w:val="20"/>
        </w:rPr>
        <w:t>, 12(9), pp. 905–912. doi: 10.1093/ntr/ntq114.</w:t>
      </w:r>
    </w:p>
    <w:p w14:paraId="3D99272A" w14:textId="77777777" w:rsidR="003E59B7" w:rsidRPr="007974F5" w:rsidRDefault="003E59B7" w:rsidP="00813EB9">
      <w:pPr>
        <w:widowControl w:val="0"/>
        <w:autoSpaceDE w:val="0"/>
        <w:autoSpaceDN w:val="0"/>
        <w:adjustRightInd w:val="0"/>
        <w:ind w:left="567" w:hanging="567"/>
        <w:rPr>
          <w:noProof/>
          <w:sz w:val="20"/>
          <w:szCs w:val="20"/>
        </w:rPr>
      </w:pPr>
      <w:r w:rsidRPr="007974F5">
        <w:rPr>
          <w:noProof/>
          <w:sz w:val="20"/>
          <w:szCs w:val="20"/>
        </w:rPr>
        <w:t xml:space="preserve">Yulviana, R. (2015) ‘Faktor-Faktor yang Berhubungan dengan Kebiasaan Merokok pada Remaja Putra Kelas X dan XI di SMA Negeri 6 Pekanbaru’, </w:t>
      </w:r>
      <w:r w:rsidRPr="007974F5">
        <w:rPr>
          <w:i/>
          <w:iCs/>
          <w:noProof/>
          <w:sz w:val="20"/>
          <w:szCs w:val="20"/>
        </w:rPr>
        <w:t>Jurnal Kesehatan Komunitas</w:t>
      </w:r>
      <w:r w:rsidRPr="007974F5">
        <w:rPr>
          <w:noProof/>
          <w:sz w:val="20"/>
          <w:szCs w:val="20"/>
        </w:rPr>
        <w:t>, 2(6), pp. 278–282. Available at: http://jurnal.htp.ac.id/index.php/keskom/article/download/89/73.</w:t>
      </w:r>
    </w:p>
    <w:p w14:paraId="5C968F01" w14:textId="0515DB27" w:rsidR="00200B15" w:rsidRPr="007974F5" w:rsidRDefault="004D5853" w:rsidP="00813EB9">
      <w:pPr>
        <w:ind w:left="567" w:hanging="567"/>
        <w:rPr>
          <w:noProof/>
          <w:sz w:val="20"/>
          <w:szCs w:val="20"/>
        </w:rPr>
      </w:pPr>
      <w:r w:rsidRPr="007974F5">
        <w:rPr>
          <w:sz w:val="20"/>
          <w:szCs w:val="20"/>
          <w:lang w:eastAsia="zh-CN"/>
        </w:rPr>
        <w:fldChar w:fldCharType="end"/>
      </w:r>
    </w:p>
    <w:sectPr w:rsidR="00200B15" w:rsidRPr="007974F5" w:rsidSect="007974F5">
      <w:headerReference w:type="even" r:id="rId10"/>
      <w:headerReference w:type="default" r:id="rId11"/>
      <w:footerReference w:type="even" r:id="rId12"/>
      <w:footerReference w:type="default" r:id="rId13"/>
      <w:headerReference w:type="first" r:id="rId14"/>
      <w:pgSz w:w="11907" w:h="16840" w:code="9"/>
      <w:pgMar w:top="1418" w:right="1418" w:bottom="1418" w:left="1418" w:header="709" w:footer="709" w:gutter="0"/>
      <w:pgNumType w:start="48"/>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A596A" w15:done="0"/>
  <w15:commentEx w15:paraId="5E4E73E2" w15:paraIdParent="5C4A596A" w15:done="0"/>
  <w15:commentEx w15:paraId="5247D1C3" w15:done="0"/>
  <w15:commentEx w15:paraId="3811C277" w15:paraIdParent="5247D1C3" w15:done="0"/>
  <w15:commentEx w15:paraId="53D249A8" w15:done="0"/>
  <w15:commentEx w15:paraId="2F2BCA73" w15:paraIdParent="53D249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CE069" w16cex:dateUtc="2021-08-10T04:24:00Z"/>
  <w16cex:commentExtensible w16cex:durableId="24BE42C0" w16cex:dateUtc="2021-08-11T05:36:00Z"/>
  <w16cex:commentExtensible w16cex:durableId="24BCE18B" w16cex:dateUtc="2021-08-10T04:29:00Z"/>
  <w16cex:commentExtensible w16cex:durableId="24BE42CB" w16cex:dateUtc="2021-08-11T05:36:00Z"/>
  <w16cex:commentExtensible w16cex:durableId="24BCE1C8" w16cex:dateUtc="2021-08-10T04:30:00Z"/>
  <w16cex:commentExtensible w16cex:durableId="24BE42E0" w16cex:dateUtc="2021-08-11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A596A" w16cid:durableId="24BCE069"/>
  <w16cid:commentId w16cid:paraId="5E4E73E2" w16cid:durableId="24BE42C0"/>
  <w16cid:commentId w16cid:paraId="5247D1C3" w16cid:durableId="24BCE18B"/>
  <w16cid:commentId w16cid:paraId="3811C277" w16cid:durableId="24BE42CB"/>
  <w16cid:commentId w16cid:paraId="53D249A8" w16cid:durableId="24BCE1C8"/>
  <w16cid:commentId w16cid:paraId="2F2BCA73" w16cid:durableId="24BE42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2D2D5" w14:textId="77777777" w:rsidR="00A615E5" w:rsidRDefault="00A615E5">
      <w:r>
        <w:separator/>
      </w:r>
    </w:p>
  </w:endnote>
  <w:endnote w:type="continuationSeparator" w:id="0">
    <w:p w14:paraId="2B9B3F6E" w14:textId="77777777" w:rsidR="00A615E5" w:rsidRDefault="00A6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09466E" w:rsidRDefault="0009466E"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09466E" w:rsidRDefault="0009466E"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9EF14" w14:textId="77777777" w:rsidR="00A615E5" w:rsidRDefault="00A615E5">
      <w:r>
        <w:separator/>
      </w:r>
    </w:p>
  </w:footnote>
  <w:footnote w:type="continuationSeparator" w:id="0">
    <w:p w14:paraId="522AFF30" w14:textId="77777777" w:rsidR="00A615E5" w:rsidRDefault="00A6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070B7A8B" w14:textId="139DADEF" w:rsidR="00FC38EA" w:rsidRPr="007974F5" w:rsidRDefault="00FC38EA">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7974F5">
          <w:rPr>
            <w:noProof/>
            <w:sz w:val="20"/>
          </w:rPr>
          <w:t>54</w:t>
        </w:r>
        <w:r w:rsidRPr="00C3728B">
          <w:rPr>
            <w:noProof/>
            <w:sz w:val="20"/>
          </w:rPr>
          <w:fldChar w:fldCharType="end"/>
        </w:r>
        <w:r w:rsidR="007974F5">
          <w:rPr>
            <w:noProof/>
            <w:sz w:val="20"/>
          </w:rPr>
          <w:t>.</w:t>
        </w:r>
        <w:r w:rsidR="007974F5" w:rsidRPr="007974F5">
          <w:rPr>
            <w:noProof/>
            <w:sz w:val="20"/>
            <w:lang w:val="id-ID"/>
          </w:rPr>
          <w:t xml:space="preserve"> </w:t>
        </w:r>
        <w:r w:rsidR="007974F5">
          <w:rPr>
            <w:noProof/>
            <w:sz w:val="20"/>
            <w:lang w:val="id-ID"/>
          </w:rPr>
          <w:t>Media Gizi Kesmas, Vol</w:t>
        </w:r>
        <w:r w:rsidR="007974F5">
          <w:rPr>
            <w:noProof/>
            <w:sz w:val="20"/>
          </w:rPr>
          <w:t xml:space="preserve"> 11</w:t>
        </w:r>
        <w:r w:rsidR="007974F5">
          <w:rPr>
            <w:noProof/>
            <w:sz w:val="20"/>
            <w:lang w:val="id-ID"/>
          </w:rPr>
          <w:t xml:space="preserve">, No </w:t>
        </w:r>
        <w:r w:rsidR="007974F5">
          <w:rPr>
            <w:noProof/>
            <w:sz w:val="20"/>
          </w:rPr>
          <w:t>1 Juni 2022  Halaman 46-54</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3D6B7DFB" w:rsidR="00EE1510" w:rsidRPr="00C3728B" w:rsidRDefault="00813EB9" w:rsidP="007974F5">
        <w:pPr>
          <w:pStyle w:val="Header"/>
          <w:ind w:firstLine="4680"/>
          <w:rPr>
            <w:sz w:val="20"/>
          </w:rPr>
        </w:pPr>
        <w:r w:rsidRPr="00C3728B">
          <w:rPr>
            <w:sz w:val="20"/>
          </w:rPr>
          <w:t xml:space="preserve"> </w:t>
        </w:r>
        <w:r w:rsidR="007974F5">
          <w:rPr>
            <w:sz w:val="20"/>
          </w:rPr>
          <w:t>D.</w:t>
        </w:r>
        <w:proofErr w:type="gramStart"/>
        <w:r w:rsidR="007974F5" w:rsidRPr="00C3728B">
          <w:rPr>
            <w:sz w:val="20"/>
          </w:rPr>
          <w:t>,</w:t>
        </w:r>
        <w:proofErr w:type="spellStart"/>
        <w:r w:rsidR="007974F5">
          <w:rPr>
            <w:sz w:val="20"/>
          </w:rPr>
          <w:t>Widati</w:t>
        </w:r>
        <w:proofErr w:type="spellEnd"/>
        <w:proofErr w:type="gramEnd"/>
        <w:r w:rsidR="007974F5" w:rsidRPr="00C3728B">
          <w:rPr>
            <w:sz w:val="20"/>
          </w:rPr>
          <w:t xml:space="preserve">, </w:t>
        </w:r>
        <w:r w:rsidR="007974F5">
          <w:rPr>
            <w:sz w:val="20"/>
          </w:rPr>
          <w:t>The Relationship between Social…..</w:t>
        </w:r>
        <w:r w:rsidR="00EE1510" w:rsidRPr="00C3728B">
          <w:rPr>
            <w:sz w:val="20"/>
          </w:rPr>
          <w:fldChar w:fldCharType="begin"/>
        </w:r>
        <w:r w:rsidR="00EE1510" w:rsidRPr="00C3728B">
          <w:rPr>
            <w:sz w:val="20"/>
          </w:rPr>
          <w:instrText xml:space="preserve"> PAGE   \* MERGEFORMAT </w:instrText>
        </w:r>
        <w:r w:rsidR="00EE1510" w:rsidRPr="00C3728B">
          <w:rPr>
            <w:sz w:val="20"/>
          </w:rPr>
          <w:fldChar w:fldCharType="separate"/>
        </w:r>
        <w:r w:rsidR="007974F5">
          <w:rPr>
            <w:noProof/>
            <w:sz w:val="20"/>
          </w:rPr>
          <w:t>53</w:t>
        </w:r>
        <w:r w:rsidR="00EE1510" w:rsidRPr="00C3728B">
          <w:rPr>
            <w:noProof/>
            <w:sz w:val="20"/>
          </w:rPr>
          <w:fldChar w:fldCharType="end"/>
        </w:r>
        <w:r w:rsidR="007974F5">
          <w:rPr>
            <w:noProof/>
            <w:sz w:val="20"/>
          </w:rPr>
          <w:tab/>
        </w:r>
      </w:p>
    </w:sdtContent>
  </w:sdt>
  <w:p w14:paraId="50F5B991" w14:textId="77777777" w:rsidR="00FC38EA" w:rsidRPr="00EE1510" w:rsidRDefault="00FC38EA">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FC38EA" w:rsidRDefault="00F86902"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08D920DA" w:rsidR="00F86902" w:rsidRPr="00C3728B" w:rsidRDefault="00D90B32" w:rsidP="00F86902">
                          <w:pPr>
                            <w:rPr>
                              <w:sz w:val="18"/>
                            </w:rPr>
                          </w:pPr>
                          <w:r>
                            <w:rPr>
                              <w:sz w:val="18"/>
                            </w:rPr>
                            <w:t>©2022</w:t>
                          </w:r>
                          <w:r w:rsidR="00F86902" w:rsidRPr="00C3728B">
                            <w:rPr>
                              <w:sz w:val="18"/>
                              <w:lang w:val="id-ID"/>
                            </w:rPr>
                            <w:t>.</w:t>
                          </w:r>
                          <w:r w:rsidR="00F86902" w:rsidRPr="00C3728B">
                            <w:rPr>
                              <w:sz w:val="18"/>
                            </w:rPr>
                            <w:t xml:space="preserve"> Media </w:t>
                          </w:r>
                          <w:proofErr w:type="spellStart"/>
                          <w:r w:rsidR="00F86902" w:rsidRPr="00C3728B">
                            <w:rPr>
                              <w:sz w:val="18"/>
                            </w:rPr>
                            <w:t>Gizi</w:t>
                          </w:r>
                          <w:proofErr w:type="spellEnd"/>
                          <w:r w:rsidR="00F86902" w:rsidRPr="00C3728B">
                            <w:rPr>
                              <w:sz w:val="18"/>
                            </w:rPr>
                            <w:t xml:space="preserve"> </w:t>
                          </w:r>
                          <w:proofErr w:type="spellStart"/>
                          <w:r w:rsidR="00F86902" w:rsidRPr="00C3728B">
                            <w:rPr>
                              <w:sz w:val="18"/>
                            </w:rPr>
                            <w:t>Kesmas</w:t>
                          </w:r>
                          <w:proofErr w:type="spellEnd"/>
                          <w:r w:rsidR="00F86902" w:rsidRPr="00C3728B">
                            <w:rPr>
                              <w:sz w:val="18"/>
                            </w:rPr>
                            <w:t xml:space="preserve">. Published by </w:t>
                          </w:r>
                          <w:proofErr w:type="spellStart"/>
                          <w:r w:rsidR="00F86902" w:rsidRPr="00C3728B">
                            <w:rPr>
                              <w:sz w:val="18"/>
                            </w:rPr>
                            <w:t>Universitas</w:t>
                          </w:r>
                          <w:proofErr w:type="spellEnd"/>
                          <w:r w:rsidR="00F86902" w:rsidRPr="00C3728B">
                            <w:rPr>
                              <w:sz w:val="18"/>
                            </w:rPr>
                            <w:t xml:space="preserve"> </w:t>
                          </w:r>
                          <w:proofErr w:type="spellStart"/>
                          <w:r w:rsidR="00F86902" w:rsidRPr="00C3728B">
                            <w:rPr>
                              <w:sz w:val="18"/>
                            </w:rPr>
                            <w:t>Airlangga</w:t>
                          </w:r>
                          <w:proofErr w:type="spellEnd"/>
                          <w:r w:rsidR="00F86902" w:rsidRPr="00C3728B">
                            <w:rPr>
                              <w:sz w:val="18"/>
                            </w:rPr>
                            <w:t xml:space="preserve">. </w:t>
                          </w:r>
                          <w:r w:rsidR="00F86902" w:rsidRPr="00C3728B">
                            <w:rPr>
                              <w:sz w:val="18"/>
                              <w:lang w:val="id-ID"/>
                            </w:rPr>
                            <w:t xml:space="preserve">                             </w:t>
                          </w:r>
                          <w:r w:rsidR="00C3728B">
                            <w:rPr>
                              <w:sz w:val="18"/>
                            </w:rPr>
                            <w:t xml:space="preserve">            </w:t>
                          </w:r>
                          <w:r w:rsidR="00F86902" w:rsidRPr="00C3728B">
                            <w:rPr>
                              <w:sz w:val="18"/>
                            </w:rPr>
                            <w:t xml:space="preserve">This is an open access article under CC-BY-SA license </w:t>
                          </w:r>
                        </w:p>
                        <w:p w14:paraId="1CC46B7B" w14:textId="46D44D96" w:rsidR="00F86902" w:rsidRPr="00C3728B" w:rsidRDefault="00F86902" w:rsidP="00F86902">
                          <w:pPr>
                            <w:rPr>
                              <w:sz w:val="18"/>
                            </w:rPr>
                          </w:pPr>
                          <w:r w:rsidRPr="00C3728B">
                            <w:rPr>
                              <w:sz w:val="18"/>
                            </w:rPr>
                            <w:t>R</w:t>
                          </w:r>
                          <w:r w:rsidR="00813EB9">
                            <w:rPr>
                              <w:sz w:val="18"/>
                            </w:rPr>
                            <w:t xml:space="preserve">eceived 09-08-2021, </w:t>
                          </w:r>
                          <w:r w:rsidR="007974F5">
                            <w:rPr>
                              <w:sz w:val="18"/>
                            </w:rPr>
                            <w:t>Revised: 08-11-2021, Accepted 17-11</w:t>
                          </w:r>
                          <w:r w:rsidR="00813EB9">
                            <w:rPr>
                              <w:sz w:val="18"/>
                            </w:rPr>
                            <w:t>-2021</w:t>
                          </w:r>
                          <w:r w:rsidRPr="00C3728B">
                            <w:rPr>
                              <w:sz w:val="18"/>
                            </w:rPr>
                            <w:t>, Published</w:t>
                          </w:r>
                          <w:r w:rsidR="00E01F06" w:rsidRPr="00C3728B">
                            <w:rPr>
                              <w:sz w:val="18"/>
                            </w:rPr>
                            <w:t xml:space="preserve">: </w:t>
                          </w:r>
                          <w:r w:rsidR="00813EB9">
                            <w:rPr>
                              <w:sz w:val="18"/>
                            </w:rPr>
                            <w:t>01-06-2022</w:t>
                          </w:r>
                        </w:p>
                        <w:p w14:paraId="365C1085" w14:textId="77777777" w:rsidR="00F86902" w:rsidRPr="00EE1510" w:rsidRDefault="00F86902"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08D920DA" w:rsidR="00F86902" w:rsidRPr="00C3728B" w:rsidRDefault="00D90B32" w:rsidP="00F86902">
                    <w:pPr>
                      <w:rPr>
                        <w:sz w:val="18"/>
                      </w:rPr>
                    </w:pPr>
                    <w:r>
                      <w:rPr>
                        <w:sz w:val="18"/>
                      </w:rPr>
                      <w:t>©2022</w:t>
                    </w:r>
                    <w:r w:rsidR="00F86902" w:rsidRPr="00C3728B">
                      <w:rPr>
                        <w:sz w:val="18"/>
                        <w:lang w:val="id-ID"/>
                      </w:rPr>
                      <w:t>.</w:t>
                    </w:r>
                    <w:r w:rsidR="00F86902" w:rsidRPr="00C3728B">
                      <w:rPr>
                        <w:sz w:val="18"/>
                      </w:rPr>
                      <w:t xml:space="preserve"> Media </w:t>
                    </w:r>
                    <w:proofErr w:type="spellStart"/>
                    <w:r w:rsidR="00F86902" w:rsidRPr="00C3728B">
                      <w:rPr>
                        <w:sz w:val="18"/>
                      </w:rPr>
                      <w:t>Gizi</w:t>
                    </w:r>
                    <w:proofErr w:type="spellEnd"/>
                    <w:r w:rsidR="00F86902" w:rsidRPr="00C3728B">
                      <w:rPr>
                        <w:sz w:val="18"/>
                      </w:rPr>
                      <w:t xml:space="preserve"> </w:t>
                    </w:r>
                    <w:proofErr w:type="spellStart"/>
                    <w:r w:rsidR="00F86902" w:rsidRPr="00C3728B">
                      <w:rPr>
                        <w:sz w:val="18"/>
                      </w:rPr>
                      <w:t>Kesmas</w:t>
                    </w:r>
                    <w:proofErr w:type="spellEnd"/>
                    <w:r w:rsidR="00F86902" w:rsidRPr="00C3728B">
                      <w:rPr>
                        <w:sz w:val="18"/>
                      </w:rPr>
                      <w:t xml:space="preserve">. Published by </w:t>
                    </w:r>
                    <w:proofErr w:type="spellStart"/>
                    <w:r w:rsidR="00F86902" w:rsidRPr="00C3728B">
                      <w:rPr>
                        <w:sz w:val="18"/>
                      </w:rPr>
                      <w:t>Universitas</w:t>
                    </w:r>
                    <w:proofErr w:type="spellEnd"/>
                    <w:r w:rsidR="00F86902" w:rsidRPr="00C3728B">
                      <w:rPr>
                        <w:sz w:val="18"/>
                      </w:rPr>
                      <w:t xml:space="preserve"> </w:t>
                    </w:r>
                    <w:proofErr w:type="spellStart"/>
                    <w:r w:rsidR="00F86902" w:rsidRPr="00C3728B">
                      <w:rPr>
                        <w:sz w:val="18"/>
                      </w:rPr>
                      <w:t>Airlangga</w:t>
                    </w:r>
                    <w:proofErr w:type="spellEnd"/>
                    <w:r w:rsidR="00F86902" w:rsidRPr="00C3728B">
                      <w:rPr>
                        <w:sz w:val="18"/>
                      </w:rPr>
                      <w:t xml:space="preserve">. </w:t>
                    </w:r>
                    <w:r w:rsidR="00F86902" w:rsidRPr="00C3728B">
                      <w:rPr>
                        <w:sz w:val="18"/>
                        <w:lang w:val="id-ID"/>
                      </w:rPr>
                      <w:t xml:space="preserve">                             </w:t>
                    </w:r>
                    <w:r w:rsidR="00C3728B">
                      <w:rPr>
                        <w:sz w:val="18"/>
                      </w:rPr>
                      <w:t xml:space="preserve">            </w:t>
                    </w:r>
                    <w:r w:rsidR="00F86902" w:rsidRPr="00C3728B">
                      <w:rPr>
                        <w:sz w:val="18"/>
                      </w:rPr>
                      <w:t xml:space="preserve">This is an open access article under CC-BY-SA license </w:t>
                    </w:r>
                  </w:p>
                  <w:p w14:paraId="1CC46B7B" w14:textId="46D44D96" w:rsidR="00F86902" w:rsidRPr="00C3728B" w:rsidRDefault="00F86902" w:rsidP="00F86902">
                    <w:pPr>
                      <w:rPr>
                        <w:sz w:val="18"/>
                      </w:rPr>
                    </w:pPr>
                    <w:r w:rsidRPr="00C3728B">
                      <w:rPr>
                        <w:sz w:val="18"/>
                      </w:rPr>
                      <w:t>R</w:t>
                    </w:r>
                    <w:r w:rsidR="00813EB9">
                      <w:rPr>
                        <w:sz w:val="18"/>
                      </w:rPr>
                      <w:t xml:space="preserve">eceived 09-08-2021, </w:t>
                    </w:r>
                    <w:r w:rsidR="007974F5">
                      <w:rPr>
                        <w:sz w:val="18"/>
                      </w:rPr>
                      <w:t>Revised: 08-11-2021, Accepted 17-11</w:t>
                    </w:r>
                    <w:r w:rsidR="00813EB9">
                      <w:rPr>
                        <w:sz w:val="18"/>
                      </w:rPr>
                      <w:t>-2021</w:t>
                    </w:r>
                    <w:r w:rsidRPr="00C3728B">
                      <w:rPr>
                        <w:sz w:val="18"/>
                      </w:rPr>
                      <w:t>, Published</w:t>
                    </w:r>
                    <w:r w:rsidR="00E01F06" w:rsidRPr="00C3728B">
                      <w:rPr>
                        <w:sz w:val="18"/>
                      </w:rPr>
                      <w:t xml:space="preserve">: </w:t>
                    </w:r>
                    <w:r w:rsidR="00813EB9">
                      <w:rPr>
                        <w:sz w:val="18"/>
                      </w:rPr>
                      <w:t>01-06-2022</w:t>
                    </w:r>
                  </w:p>
                  <w:p w14:paraId="365C1085" w14:textId="77777777" w:rsidR="00F86902" w:rsidRPr="00EE1510" w:rsidRDefault="00F86902"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FC38EA" w:rsidRPr="00FC38EA" w:rsidRDefault="00FC38EA">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6F2D6ABA"/>
    <w:multiLevelType w:val="hybridMultilevel"/>
    <w:tmpl w:val="3CC60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2"/>
  </w:num>
  <w:num w:numId="4">
    <w:abstractNumId w:val="15"/>
  </w:num>
  <w:num w:numId="5">
    <w:abstractNumId w:val="21"/>
  </w:num>
  <w:num w:numId="6">
    <w:abstractNumId w:val="22"/>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8"/>
  </w:num>
  <w:num w:numId="12">
    <w:abstractNumId w:val="4"/>
  </w:num>
  <w:num w:numId="13">
    <w:abstractNumId w:val="5"/>
  </w:num>
  <w:num w:numId="14">
    <w:abstractNumId w:val="18"/>
  </w:num>
  <w:num w:numId="15">
    <w:abstractNumId w:val="16"/>
  </w:num>
  <w:num w:numId="16">
    <w:abstractNumId w:val="11"/>
  </w:num>
  <w:num w:numId="17">
    <w:abstractNumId w:val="14"/>
  </w:num>
  <w:num w:numId="18">
    <w:abstractNumId w:val="7"/>
  </w:num>
  <w:num w:numId="19">
    <w:abstractNumId w:val="20"/>
  </w:num>
  <w:num w:numId="20">
    <w:abstractNumId w:val="17"/>
  </w:num>
  <w:num w:numId="21">
    <w:abstractNumId w:val="3"/>
  </w:num>
  <w:num w:numId="22">
    <w:abstractNumId w:val="10"/>
  </w:num>
  <w:num w:numId="23">
    <w:abstractNumId w:val="2"/>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TRIA AJI">
    <w15:presenceInfo w15:providerId="None" w15:userId="SATRIA AJI"/>
  </w15:person>
  <w15:person w15:author="Blas">
    <w15:presenceInfo w15:providerId="None" w15:userId="B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3174"/>
    <w:rsid w:val="00023F7D"/>
    <w:rsid w:val="0002489E"/>
    <w:rsid w:val="00024FC7"/>
    <w:rsid w:val="000253DA"/>
    <w:rsid w:val="0003483D"/>
    <w:rsid w:val="00042D46"/>
    <w:rsid w:val="000466F7"/>
    <w:rsid w:val="00046FB1"/>
    <w:rsid w:val="00050458"/>
    <w:rsid w:val="00057674"/>
    <w:rsid w:val="000676D8"/>
    <w:rsid w:val="00070990"/>
    <w:rsid w:val="00074E03"/>
    <w:rsid w:val="000772A5"/>
    <w:rsid w:val="0008130D"/>
    <w:rsid w:val="0008334C"/>
    <w:rsid w:val="000843B6"/>
    <w:rsid w:val="00084DD8"/>
    <w:rsid w:val="00092256"/>
    <w:rsid w:val="0009466E"/>
    <w:rsid w:val="000B0920"/>
    <w:rsid w:val="000B0CC3"/>
    <w:rsid w:val="000B1FC7"/>
    <w:rsid w:val="000B7D4C"/>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4C39"/>
    <w:rsid w:val="00107176"/>
    <w:rsid w:val="001116DB"/>
    <w:rsid w:val="0011196A"/>
    <w:rsid w:val="00111E7E"/>
    <w:rsid w:val="00112A41"/>
    <w:rsid w:val="00112ED0"/>
    <w:rsid w:val="0011321B"/>
    <w:rsid w:val="001138C7"/>
    <w:rsid w:val="00114D01"/>
    <w:rsid w:val="00124CAB"/>
    <w:rsid w:val="00141CAD"/>
    <w:rsid w:val="001526B1"/>
    <w:rsid w:val="00153844"/>
    <w:rsid w:val="001548E9"/>
    <w:rsid w:val="0016477A"/>
    <w:rsid w:val="0016579A"/>
    <w:rsid w:val="00167A77"/>
    <w:rsid w:val="001717EC"/>
    <w:rsid w:val="00171834"/>
    <w:rsid w:val="00184F1B"/>
    <w:rsid w:val="001866DD"/>
    <w:rsid w:val="00190DE4"/>
    <w:rsid w:val="00191563"/>
    <w:rsid w:val="00191625"/>
    <w:rsid w:val="001A12A6"/>
    <w:rsid w:val="001A2F5E"/>
    <w:rsid w:val="001B2245"/>
    <w:rsid w:val="001B706D"/>
    <w:rsid w:val="001D05F1"/>
    <w:rsid w:val="001D2285"/>
    <w:rsid w:val="001D5085"/>
    <w:rsid w:val="001D6537"/>
    <w:rsid w:val="001E0CD2"/>
    <w:rsid w:val="001E26CB"/>
    <w:rsid w:val="001E4164"/>
    <w:rsid w:val="001E7671"/>
    <w:rsid w:val="001F3ADD"/>
    <w:rsid w:val="001F5197"/>
    <w:rsid w:val="001F576A"/>
    <w:rsid w:val="001F763A"/>
    <w:rsid w:val="00200B15"/>
    <w:rsid w:val="00201048"/>
    <w:rsid w:val="0020273A"/>
    <w:rsid w:val="0020655B"/>
    <w:rsid w:val="00210ADD"/>
    <w:rsid w:val="00212366"/>
    <w:rsid w:val="00214885"/>
    <w:rsid w:val="002176AC"/>
    <w:rsid w:val="00220DF1"/>
    <w:rsid w:val="00221CB0"/>
    <w:rsid w:val="00223CEF"/>
    <w:rsid w:val="00231ADC"/>
    <w:rsid w:val="0023390E"/>
    <w:rsid w:val="002352B1"/>
    <w:rsid w:val="00244730"/>
    <w:rsid w:val="00250317"/>
    <w:rsid w:val="00261BAE"/>
    <w:rsid w:val="00264B87"/>
    <w:rsid w:val="00267507"/>
    <w:rsid w:val="00270FA0"/>
    <w:rsid w:val="002801B1"/>
    <w:rsid w:val="00282BB1"/>
    <w:rsid w:val="002C1332"/>
    <w:rsid w:val="002C680F"/>
    <w:rsid w:val="002C6F6C"/>
    <w:rsid w:val="002C7000"/>
    <w:rsid w:val="002D1D55"/>
    <w:rsid w:val="002D2B60"/>
    <w:rsid w:val="002E2393"/>
    <w:rsid w:val="002E57B2"/>
    <w:rsid w:val="002E7E28"/>
    <w:rsid w:val="002F0D2D"/>
    <w:rsid w:val="002F3890"/>
    <w:rsid w:val="002F6C50"/>
    <w:rsid w:val="003029CB"/>
    <w:rsid w:val="00307611"/>
    <w:rsid w:val="003128B0"/>
    <w:rsid w:val="00315F09"/>
    <w:rsid w:val="00322206"/>
    <w:rsid w:val="003225D9"/>
    <w:rsid w:val="00323A47"/>
    <w:rsid w:val="00327BE9"/>
    <w:rsid w:val="0033490E"/>
    <w:rsid w:val="00335C18"/>
    <w:rsid w:val="003368E6"/>
    <w:rsid w:val="003403BA"/>
    <w:rsid w:val="00342878"/>
    <w:rsid w:val="00345311"/>
    <w:rsid w:val="003519C1"/>
    <w:rsid w:val="00356E99"/>
    <w:rsid w:val="0035799D"/>
    <w:rsid w:val="00373D4E"/>
    <w:rsid w:val="00375CF9"/>
    <w:rsid w:val="003834FB"/>
    <w:rsid w:val="00383749"/>
    <w:rsid w:val="00384154"/>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9B7"/>
    <w:rsid w:val="003E5D39"/>
    <w:rsid w:val="003E7BBB"/>
    <w:rsid w:val="003F18F8"/>
    <w:rsid w:val="003F4638"/>
    <w:rsid w:val="00404112"/>
    <w:rsid w:val="0040736D"/>
    <w:rsid w:val="00407688"/>
    <w:rsid w:val="004108D5"/>
    <w:rsid w:val="004213FB"/>
    <w:rsid w:val="00424790"/>
    <w:rsid w:val="00424D40"/>
    <w:rsid w:val="00424FD6"/>
    <w:rsid w:val="00441E2C"/>
    <w:rsid w:val="004429EF"/>
    <w:rsid w:val="004456F6"/>
    <w:rsid w:val="00445A4E"/>
    <w:rsid w:val="0044648E"/>
    <w:rsid w:val="00450EDC"/>
    <w:rsid w:val="00454987"/>
    <w:rsid w:val="00461C0B"/>
    <w:rsid w:val="004633BE"/>
    <w:rsid w:val="0046352A"/>
    <w:rsid w:val="00463BDA"/>
    <w:rsid w:val="00465D51"/>
    <w:rsid w:val="0047146E"/>
    <w:rsid w:val="00472580"/>
    <w:rsid w:val="00472E9E"/>
    <w:rsid w:val="00476DF6"/>
    <w:rsid w:val="00480CF2"/>
    <w:rsid w:val="00483486"/>
    <w:rsid w:val="00487851"/>
    <w:rsid w:val="004940DD"/>
    <w:rsid w:val="00495204"/>
    <w:rsid w:val="00496275"/>
    <w:rsid w:val="004972E6"/>
    <w:rsid w:val="00497497"/>
    <w:rsid w:val="00497A20"/>
    <w:rsid w:val="004A4EEC"/>
    <w:rsid w:val="004A564E"/>
    <w:rsid w:val="004B2F2A"/>
    <w:rsid w:val="004B3656"/>
    <w:rsid w:val="004C5B49"/>
    <w:rsid w:val="004D5853"/>
    <w:rsid w:val="004D6097"/>
    <w:rsid w:val="004D77D8"/>
    <w:rsid w:val="004E2802"/>
    <w:rsid w:val="004F1971"/>
    <w:rsid w:val="004F6686"/>
    <w:rsid w:val="00501610"/>
    <w:rsid w:val="00504CBA"/>
    <w:rsid w:val="00505183"/>
    <w:rsid w:val="00506B4E"/>
    <w:rsid w:val="00506DC1"/>
    <w:rsid w:val="00514B1D"/>
    <w:rsid w:val="00522DE3"/>
    <w:rsid w:val="005341AD"/>
    <w:rsid w:val="005355C1"/>
    <w:rsid w:val="005400D0"/>
    <w:rsid w:val="00541358"/>
    <w:rsid w:val="005422DE"/>
    <w:rsid w:val="00542803"/>
    <w:rsid w:val="00543347"/>
    <w:rsid w:val="005434A4"/>
    <w:rsid w:val="00544427"/>
    <w:rsid w:val="005527EF"/>
    <w:rsid w:val="00555117"/>
    <w:rsid w:val="00557826"/>
    <w:rsid w:val="00562634"/>
    <w:rsid w:val="00566E7A"/>
    <w:rsid w:val="00571F39"/>
    <w:rsid w:val="00572068"/>
    <w:rsid w:val="005753DA"/>
    <w:rsid w:val="005762DD"/>
    <w:rsid w:val="00580CC3"/>
    <w:rsid w:val="00582596"/>
    <w:rsid w:val="00582B2D"/>
    <w:rsid w:val="00584269"/>
    <w:rsid w:val="005A70DE"/>
    <w:rsid w:val="005B4CF6"/>
    <w:rsid w:val="005B5CBD"/>
    <w:rsid w:val="005B6BD1"/>
    <w:rsid w:val="005C34AF"/>
    <w:rsid w:val="005C7E04"/>
    <w:rsid w:val="005D0F7C"/>
    <w:rsid w:val="005D1848"/>
    <w:rsid w:val="005D401C"/>
    <w:rsid w:val="005D71DC"/>
    <w:rsid w:val="005E21D8"/>
    <w:rsid w:val="005E4F5E"/>
    <w:rsid w:val="005E61D9"/>
    <w:rsid w:val="005F16B6"/>
    <w:rsid w:val="005F3E18"/>
    <w:rsid w:val="005F4D3A"/>
    <w:rsid w:val="00600D25"/>
    <w:rsid w:val="00604DA9"/>
    <w:rsid w:val="0061109F"/>
    <w:rsid w:val="00612ED4"/>
    <w:rsid w:val="00615E91"/>
    <w:rsid w:val="00625E62"/>
    <w:rsid w:val="006300D0"/>
    <w:rsid w:val="00635969"/>
    <w:rsid w:val="0064202D"/>
    <w:rsid w:val="00644E5A"/>
    <w:rsid w:val="006516E2"/>
    <w:rsid w:val="006529E4"/>
    <w:rsid w:val="00653E5A"/>
    <w:rsid w:val="0066494A"/>
    <w:rsid w:val="0066601E"/>
    <w:rsid w:val="00666E63"/>
    <w:rsid w:val="006703DC"/>
    <w:rsid w:val="006722EF"/>
    <w:rsid w:val="0067286B"/>
    <w:rsid w:val="00673459"/>
    <w:rsid w:val="006736F4"/>
    <w:rsid w:val="00674099"/>
    <w:rsid w:val="00681276"/>
    <w:rsid w:val="00682510"/>
    <w:rsid w:val="00682727"/>
    <w:rsid w:val="00683043"/>
    <w:rsid w:val="006840C2"/>
    <w:rsid w:val="0068556F"/>
    <w:rsid w:val="00692A23"/>
    <w:rsid w:val="006950B2"/>
    <w:rsid w:val="006950EB"/>
    <w:rsid w:val="00695F55"/>
    <w:rsid w:val="006B2288"/>
    <w:rsid w:val="006B3B73"/>
    <w:rsid w:val="006B506F"/>
    <w:rsid w:val="006C529F"/>
    <w:rsid w:val="006C6D9C"/>
    <w:rsid w:val="006C757D"/>
    <w:rsid w:val="006C76DC"/>
    <w:rsid w:val="006D15E9"/>
    <w:rsid w:val="006E3482"/>
    <w:rsid w:val="006E4C55"/>
    <w:rsid w:val="006E6ABE"/>
    <w:rsid w:val="006F3E38"/>
    <w:rsid w:val="006F4EA1"/>
    <w:rsid w:val="00700B90"/>
    <w:rsid w:val="00702E9E"/>
    <w:rsid w:val="00704CE1"/>
    <w:rsid w:val="00710939"/>
    <w:rsid w:val="00710A5C"/>
    <w:rsid w:val="00710DEE"/>
    <w:rsid w:val="00711BAB"/>
    <w:rsid w:val="0071623F"/>
    <w:rsid w:val="007210BA"/>
    <w:rsid w:val="0072360F"/>
    <w:rsid w:val="00723E56"/>
    <w:rsid w:val="0072655D"/>
    <w:rsid w:val="00727A78"/>
    <w:rsid w:val="0073497C"/>
    <w:rsid w:val="00737D1D"/>
    <w:rsid w:val="007424B3"/>
    <w:rsid w:val="00747066"/>
    <w:rsid w:val="007509C7"/>
    <w:rsid w:val="00750F38"/>
    <w:rsid w:val="0075223B"/>
    <w:rsid w:val="0075410A"/>
    <w:rsid w:val="0075497B"/>
    <w:rsid w:val="007616F7"/>
    <w:rsid w:val="0076243C"/>
    <w:rsid w:val="00762AD4"/>
    <w:rsid w:val="007656A5"/>
    <w:rsid w:val="0076745C"/>
    <w:rsid w:val="0077714F"/>
    <w:rsid w:val="00782FB2"/>
    <w:rsid w:val="007841B7"/>
    <w:rsid w:val="0079499E"/>
    <w:rsid w:val="00794E7D"/>
    <w:rsid w:val="007974F5"/>
    <w:rsid w:val="007A0B51"/>
    <w:rsid w:val="007A10A6"/>
    <w:rsid w:val="007A5E81"/>
    <w:rsid w:val="007B025B"/>
    <w:rsid w:val="007B2394"/>
    <w:rsid w:val="007B334F"/>
    <w:rsid w:val="007B4258"/>
    <w:rsid w:val="007B54CA"/>
    <w:rsid w:val="007B550B"/>
    <w:rsid w:val="007C0CBB"/>
    <w:rsid w:val="007C14BC"/>
    <w:rsid w:val="007C21AC"/>
    <w:rsid w:val="007C59EA"/>
    <w:rsid w:val="007C76F5"/>
    <w:rsid w:val="007C7C7D"/>
    <w:rsid w:val="007D027D"/>
    <w:rsid w:val="007E6954"/>
    <w:rsid w:val="007F06BC"/>
    <w:rsid w:val="007F0D21"/>
    <w:rsid w:val="007F1B00"/>
    <w:rsid w:val="007F2196"/>
    <w:rsid w:val="007F29E1"/>
    <w:rsid w:val="007F403F"/>
    <w:rsid w:val="007F4A39"/>
    <w:rsid w:val="007F58E7"/>
    <w:rsid w:val="007F59C9"/>
    <w:rsid w:val="007F7728"/>
    <w:rsid w:val="0080048C"/>
    <w:rsid w:val="00802B74"/>
    <w:rsid w:val="0080678F"/>
    <w:rsid w:val="008068C9"/>
    <w:rsid w:val="008101CC"/>
    <w:rsid w:val="00812359"/>
    <w:rsid w:val="0081245F"/>
    <w:rsid w:val="008133F6"/>
    <w:rsid w:val="00813EB9"/>
    <w:rsid w:val="00824251"/>
    <w:rsid w:val="00827167"/>
    <w:rsid w:val="008275C5"/>
    <w:rsid w:val="00830C7E"/>
    <w:rsid w:val="0083295A"/>
    <w:rsid w:val="0083309B"/>
    <w:rsid w:val="00833E2B"/>
    <w:rsid w:val="00836D4D"/>
    <w:rsid w:val="00840C6A"/>
    <w:rsid w:val="00844116"/>
    <w:rsid w:val="00850B91"/>
    <w:rsid w:val="0085254E"/>
    <w:rsid w:val="00852D7E"/>
    <w:rsid w:val="00857EEB"/>
    <w:rsid w:val="00865834"/>
    <w:rsid w:val="008673C7"/>
    <w:rsid w:val="008708CB"/>
    <w:rsid w:val="0087317B"/>
    <w:rsid w:val="008743B4"/>
    <w:rsid w:val="008777EA"/>
    <w:rsid w:val="00884202"/>
    <w:rsid w:val="008953A6"/>
    <w:rsid w:val="00897824"/>
    <w:rsid w:val="00897DBE"/>
    <w:rsid w:val="008A751E"/>
    <w:rsid w:val="008B583B"/>
    <w:rsid w:val="008B7A09"/>
    <w:rsid w:val="008C2853"/>
    <w:rsid w:val="008C315F"/>
    <w:rsid w:val="008C41B9"/>
    <w:rsid w:val="008D0193"/>
    <w:rsid w:val="008D42F2"/>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26792"/>
    <w:rsid w:val="00932472"/>
    <w:rsid w:val="00933CAC"/>
    <w:rsid w:val="00935A26"/>
    <w:rsid w:val="00940077"/>
    <w:rsid w:val="0094286D"/>
    <w:rsid w:val="00943866"/>
    <w:rsid w:val="00943A6E"/>
    <w:rsid w:val="009560C7"/>
    <w:rsid w:val="00960BFE"/>
    <w:rsid w:val="0096329C"/>
    <w:rsid w:val="009639F2"/>
    <w:rsid w:val="00964A54"/>
    <w:rsid w:val="009754D5"/>
    <w:rsid w:val="009773BD"/>
    <w:rsid w:val="009807F5"/>
    <w:rsid w:val="009808F1"/>
    <w:rsid w:val="009848BE"/>
    <w:rsid w:val="00991071"/>
    <w:rsid w:val="009913AD"/>
    <w:rsid w:val="00992D42"/>
    <w:rsid w:val="00992DE8"/>
    <w:rsid w:val="00995454"/>
    <w:rsid w:val="009975C1"/>
    <w:rsid w:val="009A08CE"/>
    <w:rsid w:val="009A3C9A"/>
    <w:rsid w:val="009B3D74"/>
    <w:rsid w:val="009B4BC5"/>
    <w:rsid w:val="009B5A3B"/>
    <w:rsid w:val="009B7013"/>
    <w:rsid w:val="009B7F8A"/>
    <w:rsid w:val="009C1B06"/>
    <w:rsid w:val="009C478A"/>
    <w:rsid w:val="009D037C"/>
    <w:rsid w:val="009E30EB"/>
    <w:rsid w:val="009E3708"/>
    <w:rsid w:val="009E5E83"/>
    <w:rsid w:val="009E64C8"/>
    <w:rsid w:val="00A00ADA"/>
    <w:rsid w:val="00A012CA"/>
    <w:rsid w:val="00A04573"/>
    <w:rsid w:val="00A0466C"/>
    <w:rsid w:val="00A07EBB"/>
    <w:rsid w:val="00A1210F"/>
    <w:rsid w:val="00A136F4"/>
    <w:rsid w:val="00A16FA3"/>
    <w:rsid w:val="00A238BC"/>
    <w:rsid w:val="00A24076"/>
    <w:rsid w:val="00A25C21"/>
    <w:rsid w:val="00A42539"/>
    <w:rsid w:val="00A42AF9"/>
    <w:rsid w:val="00A42DE7"/>
    <w:rsid w:val="00A44CE7"/>
    <w:rsid w:val="00A615DA"/>
    <w:rsid w:val="00A615E5"/>
    <w:rsid w:val="00A65CBE"/>
    <w:rsid w:val="00A67618"/>
    <w:rsid w:val="00A678C1"/>
    <w:rsid w:val="00A72D77"/>
    <w:rsid w:val="00A74283"/>
    <w:rsid w:val="00A7510C"/>
    <w:rsid w:val="00A75F1F"/>
    <w:rsid w:val="00A803F1"/>
    <w:rsid w:val="00A837E1"/>
    <w:rsid w:val="00A85426"/>
    <w:rsid w:val="00A94E59"/>
    <w:rsid w:val="00A953C8"/>
    <w:rsid w:val="00AA0971"/>
    <w:rsid w:val="00AA4B64"/>
    <w:rsid w:val="00AB36C5"/>
    <w:rsid w:val="00AB475A"/>
    <w:rsid w:val="00AB5FD5"/>
    <w:rsid w:val="00AC2D1D"/>
    <w:rsid w:val="00AC3F0B"/>
    <w:rsid w:val="00AC79E0"/>
    <w:rsid w:val="00AD1381"/>
    <w:rsid w:val="00AD554A"/>
    <w:rsid w:val="00AE1CD3"/>
    <w:rsid w:val="00AF4E0F"/>
    <w:rsid w:val="00B03FC7"/>
    <w:rsid w:val="00B042E3"/>
    <w:rsid w:val="00B05AEA"/>
    <w:rsid w:val="00B06342"/>
    <w:rsid w:val="00B072AC"/>
    <w:rsid w:val="00B11855"/>
    <w:rsid w:val="00B13291"/>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6834"/>
    <w:rsid w:val="00B57D7E"/>
    <w:rsid w:val="00B603A1"/>
    <w:rsid w:val="00B63C3E"/>
    <w:rsid w:val="00B64153"/>
    <w:rsid w:val="00B6733F"/>
    <w:rsid w:val="00B677B6"/>
    <w:rsid w:val="00B76297"/>
    <w:rsid w:val="00B815CF"/>
    <w:rsid w:val="00B8229D"/>
    <w:rsid w:val="00B9599C"/>
    <w:rsid w:val="00B967F1"/>
    <w:rsid w:val="00BB0EDA"/>
    <w:rsid w:val="00BB2C4E"/>
    <w:rsid w:val="00BB3181"/>
    <w:rsid w:val="00BB31A7"/>
    <w:rsid w:val="00BB4BB4"/>
    <w:rsid w:val="00BB7159"/>
    <w:rsid w:val="00BC731B"/>
    <w:rsid w:val="00BC7BF8"/>
    <w:rsid w:val="00BD56BE"/>
    <w:rsid w:val="00BD5714"/>
    <w:rsid w:val="00BF23B9"/>
    <w:rsid w:val="00BF4103"/>
    <w:rsid w:val="00BF42BE"/>
    <w:rsid w:val="00BF4CB1"/>
    <w:rsid w:val="00C00B8A"/>
    <w:rsid w:val="00C01D12"/>
    <w:rsid w:val="00C06DE1"/>
    <w:rsid w:val="00C13713"/>
    <w:rsid w:val="00C154E9"/>
    <w:rsid w:val="00C156FD"/>
    <w:rsid w:val="00C232B5"/>
    <w:rsid w:val="00C25CF6"/>
    <w:rsid w:val="00C27A51"/>
    <w:rsid w:val="00C323E8"/>
    <w:rsid w:val="00C330A6"/>
    <w:rsid w:val="00C35975"/>
    <w:rsid w:val="00C36F7A"/>
    <w:rsid w:val="00C3728B"/>
    <w:rsid w:val="00C6297B"/>
    <w:rsid w:val="00C65148"/>
    <w:rsid w:val="00C65997"/>
    <w:rsid w:val="00C73177"/>
    <w:rsid w:val="00C75755"/>
    <w:rsid w:val="00C776E7"/>
    <w:rsid w:val="00C77C2E"/>
    <w:rsid w:val="00C81A11"/>
    <w:rsid w:val="00C82395"/>
    <w:rsid w:val="00C836E5"/>
    <w:rsid w:val="00C84690"/>
    <w:rsid w:val="00C85323"/>
    <w:rsid w:val="00C907FE"/>
    <w:rsid w:val="00C94A41"/>
    <w:rsid w:val="00C957A8"/>
    <w:rsid w:val="00C961A3"/>
    <w:rsid w:val="00CA1A5C"/>
    <w:rsid w:val="00CA268C"/>
    <w:rsid w:val="00CA351F"/>
    <w:rsid w:val="00CA3E79"/>
    <w:rsid w:val="00CA4469"/>
    <w:rsid w:val="00CC17B8"/>
    <w:rsid w:val="00CC39A3"/>
    <w:rsid w:val="00CC6058"/>
    <w:rsid w:val="00CD18A1"/>
    <w:rsid w:val="00CD3FD7"/>
    <w:rsid w:val="00CD4A85"/>
    <w:rsid w:val="00CD699E"/>
    <w:rsid w:val="00CE6F72"/>
    <w:rsid w:val="00CF04D1"/>
    <w:rsid w:val="00CF089D"/>
    <w:rsid w:val="00CF28E5"/>
    <w:rsid w:val="00CF2ABC"/>
    <w:rsid w:val="00CF4242"/>
    <w:rsid w:val="00CF4F3A"/>
    <w:rsid w:val="00D041CF"/>
    <w:rsid w:val="00D075EC"/>
    <w:rsid w:val="00D14AEB"/>
    <w:rsid w:val="00D162A9"/>
    <w:rsid w:val="00D170A8"/>
    <w:rsid w:val="00D21756"/>
    <w:rsid w:val="00D23D2A"/>
    <w:rsid w:val="00D27DB7"/>
    <w:rsid w:val="00D34F90"/>
    <w:rsid w:val="00D37BC6"/>
    <w:rsid w:val="00D44524"/>
    <w:rsid w:val="00D44C83"/>
    <w:rsid w:val="00D468BA"/>
    <w:rsid w:val="00D46BD2"/>
    <w:rsid w:val="00D54013"/>
    <w:rsid w:val="00D61F4A"/>
    <w:rsid w:val="00D6336E"/>
    <w:rsid w:val="00D6370E"/>
    <w:rsid w:val="00D63F50"/>
    <w:rsid w:val="00D6573C"/>
    <w:rsid w:val="00D7024D"/>
    <w:rsid w:val="00D768F5"/>
    <w:rsid w:val="00D83BFC"/>
    <w:rsid w:val="00D84A29"/>
    <w:rsid w:val="00D86763"/>
    <w:rsid w:val="00D90B32"/>
    <w:rsid w:val="00D93B64"/>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5971"/>
    <w:rsid w:val="00DE672B"/>
    <w:rsid w:val="00E01F06"/>
    <w:rsid w:val="00E0611E"/>
    <w:rsid w:val="00E06963"/>
    <w:rsid w:val="00E106DE"/>
    <w:rsid w:val="00E112C9"/>
    <w:rsid w:val="00E13AE5"/>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3981"/>
    <w:rsid w:val="00EC7EE2"/>
    <w:rsid w:val="00ED116F"/>
    <w:rsid w:val="00EE1510"/>
    <w:rsid w:val="00EE28E8"/>
    <w:rsid w:val="00EE321A"/>
    <w:rsid w:val="00EE3403"/>
    <w:rsid w:val="00EE645F"/>
    <w:rsid w:val="00EF1D37"/>
    <w:rsid w:val="00EF27B7"/>
    <w:rsid w:val="00EF30E9"/>
    <w:rsid w:val="00F13660"/>
    <w:rsid w:val="00F164C9"/>
    <w:rsid w:val="00F22918"/>
    <w:rsid w:val="00F22C6E"/>
    <w:rsid w:val="00F24663"/>
    <w:rsid w:val="00F2559C"/>
    <w:rsid w:val="00F26B5E"/>
    <w:rsid w:val="00F33476"/>
    <w:rsid w:val="00F37241"/>
    <w:rsid w:val="00F4624F"/>
    <w:rsid w:val="00F4683E"/>
    <w:rsid w:val="00F50129"/>
    <w:rsid w:val="00F53F1B"/>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7810"/>
    <w:rsid w:val="00FC38EA"/>
    <w:rsid w:val="00FC5FC2"/>
    <w:rsid w:val="00FC6284"/>
    <w:rsid w:val="00FD0A2A"/>
    <w:rsid w:val="00FD2C4E"/>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head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qFormat/>
    <w:rsid w:val="00584269"/>
    <w:pPr>
      <w:keepNext/>
      <w:keepLines/>
      <w:spacing w:before="240"/>
      <w:outlineLvl w:val="0"/>
    </w:pPr>
    <w:rPr>
      <w:rFonts w:eastAsiaTheme="majorEastAsia"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uiPriority w:val="99"/>
    <w:semiHidden/>
    <w:unhideWhenUsed/>
    <w:rsid w:val="00E0611E"/>
    <w:rPr>
      <w:sz w:val="16"/>
      <w:szCs w:val="16"/>
    </w:rPr>
  </w:style>
  <w:style w:type="paragraph" w:styleId="CommentText">
    <w:name w:val="annotation text"/>
    <w:basedOn w:val="Normal"/>
    <w:link w:val="CommentTextChar"/>
    <w:uiPriority w:val="99"/>
    <w:semiHidden/>
    <w:unhideWhenUsed/>
    <w:rsid w:val="00E0611E"/>
    <w:rPr>
      <w:sz w:val="20"/>
      <w:szCs w:val="20"/>
    </w:rPr>
  </w:style>
  <w:style w:type="character" w:customStyle="1" w:styleId="CommentTextChar">
    <w:name w:val="Comment Text Char"/>
    <w:basedOn w:val="DefaultParagraphFont"/>
    <w:link w:val="CommentText"/>
    <w:uiPriority w:val="99"/>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eading1Char">
    <w:name w:val="Heading 1 Char"/>
    <w:basedOn w:val="DefaultParagraphFont"/>
    <w:link w:val="Heading1"/>
    <w:rsid w:val="00584269"/>
    <w:rPr>
      <w:rFonts w:eastAsiaTheme="majorEastAsia" w:cstheme="majorBidi"/>
      <w:b/>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head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paragraph" w:styleId="Heading1">
    <w:name w:val="heading 1"/>
    <w:basedOn w:val="Normal"/>
    <w:next w:val="Normal"/>
    <w:link w:val="Heading1Char"/>
    <w:qFormat/>
    <w:rsid w:val="00584269"/>
    <w:pPr>
      <w:keepNext/>
      <w:keepLines/>
      <w:spacing w:before="240"/>
      <w:outlineLvl w:val="0"/>
    </w:pPr>
    <w:rPr>
      <w:rFonts w:eastAsiaTheme="majorEastAsia"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uiPriority w:val="99"/>
    <w:semiHidden/>
    <w:unhideWhenUsed/>
    <w:rsid w:val="00E0611E"/>
    <w:rPr>
      <w:sz w:val="16"/>
      <w:szCs w:val="16"/>
    </w:rPr>
  </w:style>
  <w:style w:type="paragraph" w:styleId="CommentText">
    <w:name w:val="annotation text"/>
    <w:basedOn w:val="Normal"/>
    <w:link w:val="CommentTextChar"/>
    <w:uiPriority w:val="99"/>
    <w:semiHidden/>
    <w:unhideWhenUsed/>
    <w:rsid w:val="00E0611E"/>
    <w:rPr>
      <w:sz w:val="20"/>
      <w:szCs w:val="20"/>
    </w:rPr>
  </w:style>
  <w:style w:type="character" w:customStyle="1" w:styleId="CommentTextChar">
    <w:name w:val="Comment Text Char"/>
    <w:basedOn w:val="DefaultParagraphFont"/>
    <w:link w:val="CommentText"/>
    <w:uiPriority w:val="99"/>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Heading1Char">
    <w:name w:val="Heading 1 Char"/>
    <w:basedOn w:val="DefaultParagraphFont"/>
    <w:link w:val="Heading1"/>
    <w:rsid w:val="00584269"/>
    <w:rPr>
      <w:rFonts w:eastAsiaTheme="majorEastAsia"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69528334">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302E-5C9B-411D-B89B-01315171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11838</Words>
  <Characters>67478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79158</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shelviana mathofani</dc:creator>
  <cp:lastModifiedBy>LENOVO</cp:lastModifiedBy>
  <cp:revision>4</cp:revision>
  <dcterms:created xsi:type="dcterms:W3CDTF">2022-01-13T06:49:00Z</dcterms:created>
  <dcterms:modified xsi:type="dcterms:W3CDTF">2022-01-19T06:20:00Z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7th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http://www.zotero.org/styles/harvard-anglia-ruskin-university</vt:lpwstr>
  </property>
  <property fmtid="{D5CDD505-2E9C-101B-9397-08002B2CF9AE}" pid="15" name="Mendeley Recent Style Name 3_1">
    <vt:lpwstr>Anglia Ruskin University - Harvard</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8c9b02ba-ebe7-3351-a199-ab489f9de4d1</vt:lpwstr>
  </property>
</Properties>
</file>